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210"/>
        <w:rPr>
          <w:rFonts w:hint="eastAsia" w:eastAsia="宋体"/>
          <w:color w:val="auto"/>
          <w:highlight w:val="none"/>
          <w:lang w:val="en-US" w:eastAsia="zh-CN"/>
        </w:rPr>
      </w:pPr>
      <w:r>
        <w:rPr>
          <w:rFonts w:hint="eastAsia"/>
          <w:color w:val="auto"/>
          <w:highlight w:val="none"/>
          <w:lang w:val="en-US" w:eastAsia="zh-CN"/>
        </w:rPr>
        <w:t xml:space="preserve"> </w:t>
      </w:r>
    </w:p>
    <w:p>
      <w:pPr>
        <w:jc w:val="center"/>
        <w:rPr>
          <w:b/>
          <w:color w:val="auto"/>
          <w:sz w:val="44"/>
          <w:szCs w:val="44"/>
          <w:highlight w:val="none"/>
        </w:rPr>
      </w:pPr>
    </w:p>
    <w:p>
      <w:pPr>
        <w:pStyle w:val="17"/>
        <w:rPr>
          <w:color w:val="auto"/>
          <w:highlight w:val="none"/>
        </w:rPr>
      </w:pPr>
    </w:p>
    <w:p>
      <w:pPr>
        <w:jc w:val="center"/>
        <w:rPr>
          <w:b/>
          <w:color w:val="auto"/>
          <w:sz w:val="44"/>
          <w:szCs w:val="44"/>
          <w:highlight w:val="none"/>
        </w:rPr>
      </w:pPr>
    </w:p>
    <w:p>
      <w:pPr>
        <w:jc w:val="center"/>
        <w:rPr>
          <w:b/>
          <w:color w:val="auto"/>
          <w:sz w:val="48"/>
          <w:szCs w:val="48"/>
          <w:highlight w:val="none"/>
        </w:rPr>
      </w:pPr>
      <w:r>
        <w:rPr>
          <w:rFonts w:hint="eastAsia" w:ascii="宋体" w:hAnsi="宋体"/>
          <w:b/>
          <w:color w:val="auto"/>
          <w:sz w:val="48"/>
          <w:szCs w:val="48"/>
          <w:highlight w:val="none"/>
        </w:rPr>
        <w:t>浙江省房屋建筑和市政基础设施</w:t>
      </w:r>
    </w:p>
    <w:p>
      <w:pPr>
        <w:jc w:val="center"/>
        <w:rPr>
          <w:b/>
          <w:color w:val="auto"/>
          <w:sz w:val="48"/>
          <w:szCs w:val="48"/>
          <w:highlight w:val="none"/>
        </w:rPr>
      </w:pPr>
      <w:r>
        <w:rPr>
          <w:rFonts w:hint="eastAsia" w:ascii="宋体" w:hAnsi="宋体"/>
          <w:b/>
          <w:color w:val="auto"/>
          <w:sz w:val="48"/>
          <w:szCs w:val="48"/>
          <w:highlight w:val="none"/>
        </w:rPr>
        <w:t>施工招标文件示范文本（绍兴版）</w:t>
      </w:r>
    </w:p>
    <w:p>
      <w:pPr>
        <w:jc w:val="center"/>
        <w:rPr>
          <w:rFonts w:ascii="宋体" w:hAnsi="宋体"/>
          <w:b/>
          <w:color w:val="auto"/>
          <w:sz w:val="36"/>
          <w:szCs w:val="36"/>
          <w:highlight w:val="none"/>
        </w:rPr>
      </w:pPr>
    </w:p>
    <w:p>
      <w:pPr>
        <w:jc w:val="center"/>
        <w:rPr>
          <w:rFonts w:ascii="宋体" w:hAnsi="宋体"/>
          <w:b/>
          <w:color w:val="auto"/>
          <w:sz w:val="36"/>
          <w:szCs w:val="36"/>
          <w:highlight w:val="none"/>
        </w:rPr>
      </w:pPr>
    </w:p>
    <w:p>
      <w:pPr>
        <w:jc w:val="center"/>
        <w:rPr>
          <w:rFonts w:ascii="宋体" w:hAnsi="宋体"/>
          <w:b/>
          <w:color w:val="auto"/>
          <w:sz w:val="36"/>
          <w:szCs w:val="36"/>
          <w:highlight w:val="none"/>
        </w:rPr>
      </w:pPr>
    </w:p>
    <w:p>
      <w:pPr>
        <w:jc w:val="center"/>
        <w:rPr>
          <w:rFonts w:ascii="等线" w:hAnsi="等线"/>
          <w:b/>
          <w:color w:val="auto"/>
          <w:sz w:val="36"/>
          <w:szCs w:val="36"/>
          <w:highlight w:val="none"/>
        </w:rPr>
      </w:pPr>
      <w:r>
        <w:rPr>
          <w:rFonts w:ascii="宋体" w:hAnsi="宋体"/>
          <w:b/>
          <w:color w:val="auto"/>
          <w:sz w:val="36"/>
          <w:szCs w:val="36"/>
          <w:highlight w:val="none"/>
        </w:rPr>
        <w:t>（</w:t>
      </w:r>
      <w:r>
        <w:rPr>
          <w:rFonts w:ascii="等线" w:hAnsi="等线"/>
          <w:b/>
          <w:color w:val="auto"/>
          <w:sz w:val="36"/>
          <w:szCs w:val="36"/>
          <w:highlight w:val="none"/>
        </w:rPr>
        <w:t>202</w:t>
      </w:r>
      <w:r>
        <w:rPr>
          <w:rFonts w:hint="eastAsia" w:ascii="等线" w:hAnsi="等线"/>
          <w:b/>
          <w:color w:val="auto"/>
          <w:sz w:val="36"/>
          <w:szCs w:val="36"/>
          <w:highlight w:val="none"/>
        </w:rPr>
        <w:t>2-01</w:t>
      </w:r>
      <w:r>
        <w:rPr>
          <w:rFonts w:hint="eastAsia" w:ascii="宋体" w:hAnsi="宋体"/>
          <w:b/>
          <w:color w:val="auto"/>
          <w:sz w:val="36"/>
          <w:szCs w:val="36"/>
          <w:highlight w:val="none"/>
        </w:rPr>
        <w:t>版</w:t>
      </w:r>
      <w:r>
        <w:rPr>
          <w:rFonts w:ascii="宋体" w:hAnsi="宋体"/>
          <w:b/>
          <w:color w:val="auto"/>
          <w:sz w:val="36"/>
          <w:szCs w:val="36"/>
          <w:highlight w:val="none"/>
        </w:rPr>
        <w:t>）</w:t>
      </w:r>
    </w:p>
    <w:p>
      <w:pPr>
        <w:jc w:val="center"/>
        <w:rPr>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p>
    <w:p>
      <w:pPr>
        <w:pStyle w:val="17"/>
        <w:rPr>
          <w:color w:val="auto"/>
          <w:highlight w:val="none"/>
        </w:rPr>
      </w:pPr>
    </w:p>
    <w:p>
      <w:pPr>
        <w:rPr>
          <w:color w:val="auto"/>
          <w:highlight w:val="none"/>
        </w:rPr>
      </w:pPr>
    </w:p>
    <w:p>
      <w:pPr>
        <w:jc w:val="center"/>
        <w:rPr>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p>
    <w:p>
      <w:pPr>
        <w:jc w:val="center"/>
        <w:rPr>
          <w:b/>
          <w:color w:val="auto"/>
          <w:sz w:val="36"/>
          <w:szCs w:val="36"/>
          <w:highlight w:val="none"/>
        </w:rPr>
      </w:pPr>
      <w:r>
        <w:rPr>
          <w:rFonts w:hint="eastAsia" w:ascii="宋体" w:hAnsi="宋体"/>
          <w:b/>
          <w:color w:val="auto"/>
          <w:sz w:val="36"/>
          <w:szCs w:val="36"/>
          <w:highlight w:val="none"/>
        </w:rPr>
        <w:t>绍兴市政务服务办公室</w:t>
      </w:r>
    </w:p>
    <w:p>
      <w:pPr>
        <w:jc w:val="center"/>
        <w:rPr>
          <w:b/>
          <w:color w:val="auto"/>
          <w:sz w:val="36"/>
          <w:szCs w:val="36"/>
          <w:highlight w:val="none"/>
        </w:rPr>
      </w:pPr>
      <w:r>
        <w:rPr>
          <w:rFonts w:hint="eastAsia" w:ascii="宋体" w:hAnsi="宋体"/>
          <w:b/>
          <w:color w:val="auto"/>
          <w:sz w:val="36"/>
          <w:szCs w:val="36"/>
          <w:highlight w:val="none"/>
        </w:rPr>
        <w:t>绍兴市住房和城乡建设局</w:t>
      </w:r>
    </w:p>
    <w:p>
      <w:pPr>
        <w:pStyle w:val="17"/>
        <w:rPr>
          <w:color w:val="auto"/>
          <w:highlight w:val="none"/>
        </w:rPr>
      </w:pPr>
    </w:p>
    <w:p>
      <w:pPr>
        <w:jc w:val="center"/>
        <w:rPr>
          <w:b/>
          <w:color w:val="auto"/>
          <w:sz w:val="36"/>
          <w:szCs w:val="36"/>
          <w:highlight w:val="none"/>
        </w:rPr>
      </w:pPr>
      <w:r>
        <w:rPr>
          <w:rFonts w:hint="eastAsia" w:ascii="宋体" w:hAnsi="宋体"/>
          <w:b/>
          <w:color w:val="auto"/>
          <w:sz w:val="36"/>
          <w:szCs w:val="36"/>
          <w:highlight w:val="none"/>
        </w:rPr>
        <w:t>二</w:t>
      </w:r>
      <w:r>
        <w:rPr>
          <w:rFonts w:hint="eastAsia"/>
          <w:b/>
          <w:color w:val="auto"/>
          <w:sz w:val="36"/>
          <w:szCs w:val="36"/>
          <w:highlight w:val="none"/>
        </w:rPr>
        <w:t>O</w:t>
      </w:r>
      <w:r>
        <w:rPr>
          <w:rFonts w:hint="eastAsia" w:ascii="宋体" w:hAnsi="宋体"/>
          <w:b/>
          <w:color w:val="auto"/>
          <w:sz w:val="36"/>
          <w:szCs w:val="36"/>
          <w:highlight w:val="none"/>
        </w:rPr>
        <w:t>二二年十月</w:t>
      </w:r>
    </w:p>
    <w:p>
      <w:pPr>
        <w:jc w:val="center"/>
        <w:rPr>
          <w:rFonts w:ascii="黑体" w:hAnsi="黑体" w:eastAsia="黑体"/>
          <w:color w:val="auto"/>
          <w:sz w:val="44"/>
          <w:szCs w:val="44"/>
          <w:highlight w:val="none"/>
        </w:rPr>
      </w:pPr>
      <w:r>
        <w:rPr>
          <w:b/>
          <w:color w:val="auto"/>
          <w:sz w:val="48"/>
          <w:szCs w:val="48"/>
          <w:highlight w:val="none"/>
        </w:rPr>
        <w:br w:type="page"/>
      </w:r>
      <w:bookmarkStart w:id="0" w:name="_Toc45697218"/>
      <w:bookmarkEnd w:id="0"/>
    </w:p>
    <w:p>
      <w:pPr>
        <w:pStyle w:val="22"/>
        <w:snapToGrid w:val="0"/>
        <w:spacing w:line="360" w:lineRule="auto"/>
        <w:ind w:firstLine="480" w:firstLineChars="200"/>
        <w:rPr>
          <w:rFonts w:ascii="宋体" w:hAnsi="宋体"/>
          <w:color w:val="auto"/>
          <w:highlight w:val="none"/>
        </w:rPr>
      </w:pPr>
    </w:p>
    <w:p>
      <w:pPr>
        <w:pStyle w:val="22"/>
        <w:snapToGrid w:val="0"/>
        <w:spacing w:line="360" w:lineRule="auto"/>
        <w:ind w:firstLine="480" w:firstLineChars="200"/>
        <w:rPr>
          <w:rFonts w:ascii="宋体" w:hAnsi="宋体"/>
          <w:color w:val="auto"/>
          <w:highlight w:val="none"/>
        </w:rPr>
      </w:pPr>
    </w:p>
    <w:p>
      <w:pPr>
        <w:pStyle w:val="22"/>
        <w:kinsoku w:val="0"/>
        <w:snapToGrid w:val="0"/>
        <w:spacing w:before="174" w:line="360" w:lineRule="auto"/>
        <w:ind w:right="175"/>
        <w:jc w:val="center"/>
        <w:rPr>
          <w:color w:val="auto"/>
          <w:sz w:val="36"/>
          <w:szCs w:val="36"/>
          <w:highlight w:val="none"/>
        </w:rPr>
      </w:pPr>
      <w:r>
        <w:rPr>
          <w:rFonts w:hint="eastAsia" w:ascii="宋体" w:hAnsi="宋体"/>
          <w:b/>
          <w:bCs/>
          <w:color w:val="auto"/>
          <w:sz w:val="36"/>
          <w:szCs w:val="36"/>
          <w:highlight w:val="none"/>
          <w:u w:val="single"/>
          <w:lang w:eastAsia="zh-CN"/>
        </w:rPr>
        <w:t>越城区鉴湖街道C-12地块城市有机更新工程</w:t>
      </w:r>
      <w:r>
        <w:rPr>
          <w:rFonts w:hint="eastAsia" w:ascii="宋体" w:hAnsi="宋体"/>
          <w:b/>
          <w:bCs/>
          <w:color w:val="auto"/>
          <w:sz w:val="36"/>
          <w:szCs w:val="36"/>
          <w:highlight w:val="none"/>
          <w:u w:val="single"/>
        </w:rPr>
        <w:t xml:space="preserve"> </w:t>
      </w:r>
      <w:r>
        <w:rPr>
          <w:rFonts w:hint="eastAsia" w:ascii="宋体" w:hAnsi="宋体"/>
          <w:color w:val="auto"/>
          <w:sz w:val="36"/>
          <w:szCs w:val="36"/>
          <w:highlight w:val="none"/>
        </w:rPr>
        <w:t>施工项目</w:t>
      </w:r>
    </w:p>
    <w:p>
      <w:pPr>
        <w:pStyle w:val="10"/>
        <w:kinsoku w:val="0"/>
        <w:spacing w:before="14" w:beforeAutospacing="0"/>
        <w:ind w:left="0" w:right="175"/>
        <w:jc w:val="center"/>
        <w:rPr>
          <w:rFonts w:ascii="宋体" w:hAnsi="宋体"/>
          <w:color w:val="auto"/>
          <w:spacing w:val="-1"/>
          <w:sz w:val="28"/>
          <w:szCs w:val="28"/>
          <w:highlight w:val="none"/>
        </w:rPr>
      </w:pPr>
    </w:p>
    <w:p>
      <w:pPr>
        <w:pStyle w:val="10"/>
        <w:kinsoku w:val="0"/>
        <w:spacing w:before="14" w:beforeAutospacing="0"/>
        <w:ind w:left="0" w:right="175"/>
        <w:jc w:val="center"/>
        <w:rPr>
          <w:color w:val="auto"/>
          <w:sz w:val="28"/>
          <w:szCs w:val="28"/>
          <w:highlight w:val="none"/>
        </w:rPr>
      </w:pPr>
      <w:r>
        <w:rPr>
          <w:rFonts w:hint="eastAsia" w:ascii="宋体" w:hAnsi="宋体"/>
          <w:color w:val="auto"/>
          <w:spacing w:val="-1"/>
          <w:sz w:val="28"/>
          <w:szCs w:val="28"/>
          <w:highlight w:val="none"/>
        </w:rPr>
        <w:t>（</w:t>
      </w:r>
      <w:r>
        <w:rPr>
          <w:rFonts w:hint="eastAsia" w:ascii="宋体" w:hAnsi="宋体"/>
          <w:color w:val="auto"/>
          <w:spacing w:val="-1"/>
          <w:sz w:val="28"/>
          <w:szCs w:val="28"/>
          <w:highlight w:val="none"/>
          <w:u w:val="single"/>
        </w:rPr>
        <w:t>招标编号:</w:t>
      </w:r>
      <w:r>
        <w:rPr>
          <w:rFonts w:hint="eastAsia" w:ascii="宋体" w:hAnsi="宋体"/>
          <w:color w:val="auto"/>
          <w:sz w:val="28"/>
          <w:szCs w:val="28"/>
          <w:highlight w:val="none"/>
        </w:rPr>
        <w:t>）</w:t>
      </w:r>
    </w:p>
    <w:p>
      <w:pPr>
        <w:pStyle w:val="10"/>
        <w:kinsoku w:val="0"/>
        <w:ind w:left="0"/>
        <w:jc w:val="center"/>
        <w:rPr>
          <w:color w:val="auto"/>
          <w:sz w:val="20"/>
          <w:szCs w:val="20"/>
          <w:highlight w:val="none"/>
        </w:rPr>
      </w:pPr>
    </w:p>
    <w:p>
      <w:pPr>
        <w:pStyle w:val="10"/>
        <w:kinsoku w:val="0"/>
        <w:ind w:left="0"/>
        <w:jc w:val="center"/>
        <w:rPr>
          <w:color w:val="auto"/>
          <w:sz w:val="20"/>
          <w:szCs w:val="20"/>
          <w:highlight w:val="none"/>
        </w:rPr>
      </w:pPr>
    </w:p>
    <w:p>
      <w:pPr>
        <w:pStyle w:val="10"/>
        <w:kinsoku w:val="0"/>
        <w:ind w:left="0"/>
        <w:jc w:val="center"/>
        <w:rPr>
          <w:color w:val="auto"/>
          <w:sz w:val="20"/>
          <w:szCs w:val="20"/>
          <w:highlight w:val="none"/>
        </w:rPr>
      </w:pPr>
    </w:p>
    <w:p>
      <w:pPr>
        <w:pStyle w:val="10"/>
        <w:kinsoku w:val="0"/>
        <w:ind w:left="0"/>
        <w:jc w:val="center"/>
        <w:rPr>
          <w:color w:val="auto"/>
          <w:sz w:val="20"/>
          <w:szCs w:val="20"/>
          <w:highlight w:val="none"/>
        </w:rPr>
      </w:pPr>
    </w:p>
    <w:p>
      <w:pPr>
        <w:pStyle w:val="11"/>
        <w:ind w:firstLine="210"/>
        <w:rPr>
          <w:color w:val="auto"/>
          <w:highlight w:val="none"/>
        </w:rPr>
      </w:pPr>
    </w:p>
    <w:p>
      <w:pPr>
        <w:pStyle w:val="12"/>
        <w:ind w:left="2400"/>
        <w:rPr>
          <w:color w:val="auto"/>
          <w:highlight w:val="none"/>
        </w:rPr>
      </w:pPr>
    </w:p>
    <w:p>
      <w:pPr>
        <w:pStyle w:val="10"/>
        <w:kinsoku w:val="0"/>
        <w:ind w:left="0"/>
        <w:jc w:val="center"/>
        <w:rPr>
          <w:color w:val="auto"/>
          <w:sz w:val="20"/>
          <w:szCs w:val="20"/>
          <w:highlight w:val="none"/>
        </w:rPr>
      </w:pPr>
    </w:p>
    <w:p>
      <w:pPr>
        <w:pStyle w:val="10"/>
        <w:kinsoku w:val="0"/>
        <w:spacing w:before="106" w:beforeAutospacing="0"/>
        <w:ind w:left="3" w:right="4"/>
        <w:jc w:val="center"/>
        <w:rPr>
          <w:color w:val="auto"/>
          <w:sz w:val="44"/>
          <w:szCs w:val="44"/>
          <w:highlight w:val="none"/>
        </w:rPr>
      </w:pPr>
      <w:r>
        <w:rPr>
          <w:rFonts w:hint="eastAsia" w:ascii="宋体" w:hAnsi="宋体"/>
          <w:color w:val="auto"/>
          <w:sz w:val="44"/>
          <w:szCs w:val="44"/>
          <w:highlight w:val="none"/>
        </w:rPr>
        <w:t>招标文件</w:t>
      </w:r>
    </w:p>
    <w:p>
      <w:pPr>
        <w:pStyle w:val="10"/>
        <w:kinsoku w:val="0"/>
        <w:spacing w:before="106" w:beforeAutospacing="0"/>
        <w:ind w:left="3" w:right="4"/>
        <w:jc w:val="center"/>
        <w:rPr>
          <w:color w:val="auto"/>
          <w:sz w:val="44"/>
          <w:szCs w:val="44"/>
          <w:highlight w:val="none"/>
        </w:rPr>
      </w:pPr>
      <w:r>
        <w:rPr>
          <w:rFonts w:hint="eastAsia" w:ascii="宋体" w:hAnsi="宋体"/>
          <w:color w:val="auto"/>
          <w:sz w:val="44"/>
          <w:szCs w:val="44"/>
          <w:highlight w:val="none"/>
        </w:rPr>
        <w:t>（☑公开招标□邀请招标）</w:t>
      </w:r>
    </w:p>
    <w:p>
      <w:pPr>
        <w:pStyle w:val="10"/>
        <w:kinsoku w:val="0"/>
        <w:ind w:left="0"/>
        <w:jc w:val="center"/>
        <w:rPr>
          <w:color w:val="auto"/>
          <w:sz w:val="44"/>
          <w:szCs w:val="44"/>
          <w:highlight w:val="none"/>
        </w:rPr>
      </w:pPr>
    </w:p>
    <w:p>
      <w:pPr>
        <w:pStyle w:val="10"/>
        <w:kinsoku w:val="0"/>
        <w:ind w:left="0"/>
        <w:jc w:val="both"/>
        <w:rPr>
          <w:color w:val="auto"/>
          <w:sz w:val="44"/>
          <w:szCs w:val="44"/>
          <w:highlight w:val="none"/>
        </w:rPr>
      </w:pPr>
    </w:p>
    <w:p>
      <w:pPr>
        <w:pStyle w:val="10"/>
        <w:kinsoku w:val="0"/>
        <w:spacing w:before="8" w:beforeAutospacing="0" w:line="360" w:lineRule="auto"/>
        <w:ind w:left="0"/>
        <w:jc w:val="center"/>
        <w:rPr>
          <w:color w:val="auto"/>
          <w:sz w:val="33"/>
          <w:szCs w:val="33"/>
          <w:highlight w:val="none"/>
        </w:rPr>
      </w:pPr>
    </w:p>
    <w:p>
      <w:pPr>
        <w:pStyle w:val="10"/>
        <w:kinsoku w:val="0"/>
        <w:spacing w:line="360" w:lineRule="auto"/>
        <w:ind w:left="3"/>
        <w:jc w:val="center"/>
        <w:rPr>
          <w:color w:val="auto"/>
          <w:sz w:val="28"/>
          <w:szCs w:val="28"/>
          <w:highlight w:val="none"/>
        </w:rPr>
      </w:pPr>
      <w:r>
        <w:rPr>
          <w:rFonts w:hint="eastAsia" w:ascii="宋体" w:hAnsi="宋体"/>
          <w:color w:val="auto"/>
          <w:sz w:val="28"/>
          <w:szCs w:val="28"/>
          <w:highlight w:val="none"/>
        </w:rPr>
        <w:t>招标人：</w:t>
      </w:r>
      <w:r>
        <w:rPr>
          <w:rFonts w:hint="eastAsia" w:ascii="宋体" w:hAnsi="宋体"/>
          <w:color w:val="auto"/>
          <w:sz w:val="28"/>
          <w:szCs w:val="28"/>
          <w:highlight w:val="none"/>
          <w:u w:val="single"/>
        </w:rPr>
        <w:t xml:space="preserve"> </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u w:val="single"/>
          <w:lang w:eastAsia="zh-CN"/>
        </w:rPr>
        <w:t>绍兴市越城区建设投资有限公司</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rPr>
        <w:t>（单位盖章）</w:t>
      </w:r>
    </w:p>
    <w:p>
      <w:pPr>
        <w:pStyle w:val="10"/>
        <w:kinsoku w:val="0"/>
        <w:spacing w:line="360" w:lineRule="auto"/>
        <w:ind w:left="3"/>
        <w:jc w:val="center"/>
        <w:rPr>
          <w:rFonts w:ascii="宋体" w:hAnsi="宋体"/>
          <w:color w:val="auto"/>
          <w:sz w:val="28"/>
          <w:szCs w:val="28"/>
          <w:highlight w:val="none"/>
        </w:rPr>
      </w:pPr>
      <w:r>
        <w:rPr>
          <w:rFonts w:hint="eastAsia" w:ascii="宋体" w:hAnsi="宋体"/>
          <w:color w:val="auto"/>
          <w:sz w:val="28"/>
          <w:szCs w:val="28"/>
          <w:highlight w:val="none"/>
        </w:rPr>
        <w:t>招标代理机构：</w:t>
      </w:r>
      <w:r>
        <w:rPr>
          <w:rFonts w:hint="eastAsia" w:ascii="宋体" w:hAnsi="宋体"/>
          <w:color w:val="auto"/>
          <w:sz w:val="28"/>
          <w:szCs w:val="28"/>
          <w:highlight w:val="none"/>
          <w:u w:val="single"/>
        </w:rPr>
        <w:t xml:space="preserve">  </w:t>
      </w:r>
      <w:r>
        <w:rPr>
          <w:rFonts w:hint="eastAsia" w:ascii="宋体" w:hAnsi="宋体"/>
          <w:b/>
          <w:bCs/>
          <w:color w:val="auto"/>
          <w:sz w:val="28"/>
          <w:szCs w:val="28"/>
          <w:highlight w:val="none"/>
          <w:u w:val="single"/>
          <w:lang w:eastAsia="zh-CN"/>
        </w:rPr>
        <w:t>中冠工程管理咨询有限公司</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rPr>
        <w:t>（单位盖章）</w:t>
      </w:r>
    </w:p>
    <w:p>
      <w:pPr>
        <w:pStyle w:val="10"/>
        <w:kinsoku w:val="0"/>
        <w:spacing w:line="360" w:lineRule="auto"/>
        <w:ind w:left="3"/>
        <w:jc w:val="center"/>
        <w:rPr>
          <w:color w:val="auto"/>
          <w:sz w:val="28"/>
          <w:szCs w:val="28"/>
          <w:highlight w:val="none"/>
        </w:rPr>
      </w:pPr>
      <w:r>
        <w:rPr>
          <w:rFonts w:hint="eastAsia" w:ascii="宋体" w:hAnsi="宋体"/>
          <w:color w:val="auto"/>
          <w:sz w:val="28"/>
          <w:szCs w:val="28"/>
          <w:highlight w:val="none"/>
          <w:u w:val="single"/>
        </w:rPr>
        <w:t xml:space="preserve">  </w:t>
      </w:r>
      <w:r>
        <w:rPr>
          <w:rFonts w:hint="eastAsia" w:ascii="宋体" w:hAnsi="宋体"/>
          <w:b/>
          <w:bCs/>
          <w:color w:val="auto"/>
          <w:sz w:val="28"/>
          <w:szCs w:val="28"/>
          <w:highlight w:val="none"/>
          <w:u w:val="single"/>
        </w:rPr>
        <w:t>202</w:t>
      </w:r>
      <w:r>
        <w:rPr>
          <w:rFonts w:hint="eastAsia" w:ascii="宋体" w:hAnsi="宋体"/>
          <w:b/>
          <w:bCs/>
          <w:color w:val="auto"/>
          <w:sz w:val="28"/>
          <w:szCs w:val="28"/>
          <w:highlight w:val="none"/>
          <w:u w:val="single"/>
          <w:lang w:val="en-US" w:eastAsia="zh-CN"/>
        </w:rPr>
        <w:t>4</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rPr>
        <w:t>日</w:t>
      </w:r>
    </w:p>
    <w:p>
      <w:pPr>
        <w:pStyle w:val="23"/>
        <w:jc w:val="center"/>
        <w:rPr>
          <w:rFonts w:ascii="黑体" w:hAnsi="黑体" w:eastAsia="黑体"/>
          <w:color w:val="auto"/>
          <w:sz w:val="44"/>
          <w:szCs w:val="44"/>
          <w:highlight w:val="none"/>
        </w:rPr>
      </w:pPr>
      <w:r>
        <w:rPr>
          <w:rFonts w:hint="eastAsia" w:ascii="黑体" w:hAnsi="黑体" w:eastAsia="黑体"/>
          <w:color w:val="auto"/>
          <w:sz w:val="44"/>
          <w:szCs w:val="44"/>
          <w:highlight w:val="none"/>
        </w:rPr>
        <w:t>目  录</w:t>
      </w:r>
    </w:p>
    <w:p>
      <w:pPr>
        <w:rPr>
          <w:color w:val="auto"/>
          <w:highlight w:val="none"/>
        </w:rPr>
      </w:pPr>
    </w:p>
    <w:p>
      <w:pPr>
        <w:pStyle w:val="17"/>
        <w:jc w:val="distribute"/>
        <w:rPr>
          <w:rFonts w:ascii="宋体" w:hAnsi="宋体" w:cs="宋体"/>
          <w:b w:val="0"/>
          <w:bCs/>
          <w:color w:val="auto"/>
          <w:kern w:val="2"/>
          <w:highlight w:val="none"/>
        </w:rPr>
      </w:pPr>
      <w:r>
        <w:rPr>
          <w:color w:val="auto"/>
          <w:highlight w:val="none"/>
        </w:rPr>
        <w:fldChar w:fldCharType="begin"/>
      </w:r>
      <w:r>
        <w:rPr>
          <w:color w:val="auto"/>
          <w:highlight w:val="none"/>
        </w:rPr>
        <w:instrText xml:space="preserve"> HYPERLINK \l "_Toc67589032" </w:instrText>
      </w:r>
      <w:r>
        <w:rPr>
          <w:color w:val="auto"/>
          <w:highlight w:val="none"/>
        </w:rPr>
        <w:fldChar w:fldCharType="separate"/>
      </w:r>
      <w:r>
        <w:rPr>
          <w:rStyle w:val="24"/>
          <w:rFonts w:hint="eastAsia" w:ascii="宋体" w:hAnsi="宋体" w:cs="宋体"/>
          <w:b w:val="0"/>
          <w:bCs/>
          <w:color w:val="auto"/>
          <w:highlight w:val="none"/>
          <w:u w:val="none"/>
        </w:rPr>
        <w:t>招标公告………………………………………………………………</w:t>
      </w:r>
      <w:r>
        <w:rPr>
          <w:rStyle w:val="21"/>
          <w:rFonts w:hint="eastAsia" w:ascii="宋体" w:hAnsi="宋体" w:cs="宋体"/>
          <w:b w:val="0"/>
          <w:bCs/>
          <w:color w:val="auto"/>
          <w:highlight w:val="none"/>
        </w:rPr>
        <w:t>(</w:t>
      </w:r>
      <w:r>
        <w:rPr>
          <w:rStyle w:val="21"/>
          <w:rFonts w:hint="eastAsia" w:ascii="宋体" w:hAnsi="宋体" w:cs="宋体"/>
          <w:b w:val="0"/>
          <w:bCs/>
          <w:color w:val="auto"/>
          <w:highlight w:val="none"/>
          <w:lang w:val="en-US" w:eastAsia="zh-CN"/>
        </w:rPr>
        <w:t>4</w:t>
      </w:r>
      <w:r>
        <w:rPr>
          <w:rStyle w:val="21"/>
          <w:rFonts w:hint="eastAsia" w:ascii="宋体" w:hAnsi="宋体" w:cs="宋体"/>
          <w:b w:val="0"/>
          <w:bCs/>
          <w:color w:val="auto"/>
          <w:highlight w:val="none"/>
        </w:rPr>
        <w:t>)</w:t>
      </w:r>
      <w:r>
        <w:rPr>
          <w:rStyle w:val="21"/>
          <w:rFonts w:hint="eastAsia" w:ascii="宋体" w:hAnsi="宋体" w:cs="宋体"/>
          <w:b w:val="0"/>
          <w:bCs/>
          <w:color w:val="auto"/>
          <w:highlight w:val="none"/>
        </w:rPr>
        <w:fldChar w:fldCharType="end"/>
      </w:r>
    </w:p>
    <w:p>
      <w:pPr>
        <w:pStyle w:val="17"/>
        <w:jc w:val="distribute"/>
        <w:rPr>
          <w:rFonts w:ascii="宋体" w:hAnsi="宋体" w:cs="宋体"/>
          <w:b w:val="0"/>
          <w:bCs/>
          <w:color w:val="auto"/>
          <w:highlight w:val="none"/>
        </w:rPr>
      </w:pPr>
      <w:r>
        <w:rPr>
          <w:color w:val="auto"/>
          <w:highlight w:val="none"/>
        </w:rPr>
        <w:fldChar w:fldCharType="begin"/>
      </w:r>
      <w:r>
        <w:rPr>
          <w:color w:val="auto"/>
          <w:highlight w:val="none"/>
        </w:rPr>
        <w:instrText xml:space="preserve"> HYPERLINK \l "_Toc67589033" </w:instrText>
      </w:r>
      <w:r>
        <w:rPr>
          <w:color w:val="auto"/>
          <w:highlight w:val="none"/>
        </w:rPr>
        <w:fldChar w:fldCharType="separate"/>
      </w:r>
      <w:r>
        <w:rPr>
          <w:rFonts w:hint="eastAsia" w:ascii="宋体" w:hAnsi="宋体" w:cs="宋体"/>
          <w:b w:val="0"/>
          <w:bCs/>
          <w:color w:val="auto"/>
          <w:highlight w:val="none"/>
        </w:rPr>
        <w:t>投标人须知</w:t>
      </w:r>
      <w:r>
        <w:rPr>
          <w:rFonts w:hint="eastAsia" w:ascii="宋体" w:hAnsi="宋体" w:cs="宋体"/>
          <w:b w:val="0"/>
          <w:bCs/>
          <w:color w:val="auto"/>
          <w:highlight w:val="none"/>
        </w:rPr>
        <w:fldChar w:fldCharType="end"/>
      </w:r>
      <w:r>
        <w:rPr>
          <w:rFonts w:hint="eastAsia" w:ascii="宋体" w:hAnsi="宋体" w:cs="宋体"/>
          <w:b w:val="0"/>
          <w:bCs/>
          <w:color w:val="auto"/>
          <w:highlight w:val="none"/>
        </w:rPr>
        <w:t>……………………………………………………………(</w:t>
      </w:r>
      <w:r>
        <w:rPr>
          <w:rFonts w:hint="eastAsia" w:ascii="宋体" w:hAnsi="宋体" w:cs="宋体"/>
          <w:b w:val="0"/>
          <w:bCs/>
          <w:color w:val="auto"/>
          <w:highlight w:val="none"/>
          <w:lang w:val="en-US" w:eastAsia="zh-CN"/>
        </w:rPr>
        <w:t>7</w:t>
      </w:r>
      <w:r>
        <w:rPr>
          <w:rFonts w:hint="eastAsia" w:ascii="宋体" w:hAnsi="宋体" w:cs="宋体"/>
          <w:b w:val="0"/>
          <w:bCs/>
          <w:color w:val="auto"/>
          <w:highlight w:val="none"/>
        </w:rPr>
        <w:t>)</w:t>
      </w:r>
    </w:p>
    <w:p>
      <w:pPr>
        <w:pStyle w:val="17"/>
        <w:jc w:val="distribute"/>
        <w:rPr>
          <w:rFonts w:ascii="宋体" w:hAnsi="宋体" w:cs="宋体"/>
          <w:b w:val="0"/>
          <w:bCs/>
          <w:color w:val="auto"/>
          <w:highlight w:val="none"/>
        </w:rPr>
      </w:pPr>
      <w:r>
        <w:rPr>
          <w:color w:val="auto"/>
          <w:highlight w:val="none"/>
        </w:rPr>
        <w:fldChar w:fldCharType="begin"/>
      </w:r>
      <w:r>
        <w:rPr>
          <w:color w:val="auto"/>
          <w:highlight w:val="none"/>
        </w:rPr>
        <w:instrText xml:space="preserve"> HYPERLINK \l "_Toc67589034" </w:instrText>
      </w:r>
      <w:r>
        <w:rPr>
          <w:color w:val="auto"/>
          <w:highlight w:val="none"/>
        </w:rPr>
        <w:fldChar w:fldCharType="separate"/>
      </w:r>
      <w:r>
        <w:rPr>
          <w:rFonts w:hint="eastAsia" w:ascii="宋体" w:hAnsi="宋体" w:cs="宋体"/>
          <w:b w:val="0"/>
          <w:bCs/>
          <w:color w:val="auto"/>
          <w:highlight w:val="none"/>
        </w:rPr>
        <w:t>评标办法</w:t>
      </w:r>
      <w:r>
        <w:rPr>
          <w:rFonts w:hint="eastAsia" w:ascii="宋体" w:hAnsi="宋体" w:cs="宋体"/>
          <w:b w:val="0"/>
          <w:bCs/>
          <w:color w:val="auto"/>
          <w:highlight w:val="none"/>
        </w:rPr>
        <w:fldChar w:fldCharType="end"/>
      </w:r>
      <w:r>
        <w:rPr>
          <w:rFonts w:hint="eastAsia" w:ascii="宋体" w:hAnsi="宋体" w:cs="宋体"/>
          <w:b w:val="0"/>
          <w:bCs/>
          <w:color w:val="auto"/>
          <w:highlight w:val="none"/>
        </w:rPr>
        <w:t>………………………………………………………………(</w:t>
      </w:r>
      <w:r>
        <w:rPr>
          <w:rFonts w:hint="eastAsia" w:ascii="宋体" w:hAnsi="宋体" w:cs="宋体"/>
          <w:b w:val="0"/>
          <w:bCs/>
          <w:color w:val="auto"/>
          <w:highlight w:val="none"/>
          <w:lang w:val="en-US" w:eastAsia="zh-CN"/>
        </w:rPr>
        <w:t>39</w:t>
      </w:r>
      <w:r>
        <w:rPr>
          <w:rFonts w:hint="eastAsia" w:ascii="宋体" w:hAnsi="宋体" w:cs="宋体"/>
          <w:b w:val="0"/>
          <w:bCs/>
          <w:color w:val="auto"/>
          <w:highlight w:val="none"/>
        </w:rPr>
        <w:t>)</w:t>
      </w:r>
    </w:p>
    <w:p>
      <w:pPr>
        <w:pStyle w:val="17"/>
        <w:jc w:val="distribute"/>
        <w:rPr>
          <w:rFonts w:ascii="宋体" w:hAnsi="宋体" w:cs="宋体"/>
          <w:b w:val="0"/>
          <w:bCs/>
          <w:color w:val="auto"/>
          <w:highlight w:val="none"/>
        </w:rPr>
      </w:pPr>
      <w:r>
        <w:rPr>
          <w:rFonts w:hint="eastAsia" w:ascii="宋体" w:hAnsi="宋体" w:cs="宋体"/>
          <w:b w:val="0"/>
          <w:bCs/>
          <w:color w:val="auto"/>
          <w:highlight w:val="none"/>
        </w:rPr>
        <w:t>合同条款及格式…………………………………………………………(</w:t>
      </w:r>
      <w:r>
        <w:rPr>
          <w:rFonts w:hint="eastAsia" w:ascii="宋体" w:hAnsi="宋体" w:cs="宋体"/>
          <w:b w:val="0"/>
          <w:bCs/>
          <w:color w:val="auto"/>
          <w:highlight w:val="none"/>
          <w:lang w:val="en-US" w:eastAsia="zh-CN"/>
        </w:rPr>
        <w:t>44</w:t>
      </w:r>
      <w:r>
        <w:rPr>
          <w:rFonts w:hint="eastAsia" w:ascii="宋体" w:hAnsi="宋体" w:cs="宋体"/>
          <w:b w:val="0"/>
          <w:bCs/>
          <w:color w:val="auto"/>
          <w:highlight w:val="none"/>
        </w:rPr>
        <w:t>)</w:t>
      </w:r>
    </w:p>
    <w:p>
      <w:pPr>
        <w:pStyle w:val="17"/>
        <w:jc w:val="distribute"/>
        <w:rPr>
          <w:rFonts w:ascii="宋体" w:hAnsi="宋体" w:cs="宋体"/>
          <w:b w:val="0"/>
          <w:bCs/>
          <w:color w:val="auto"/>
          <w:highlight w:val="none"/>
        </w:rPr>
      </w:pPr>
      <w:r>
        <w:rPr>
          <w:color w:val="auto"/>
          <w:highlight w:val="none"/>
        </w:rPr>
        <w:fldChar w:fldCharType="begin"/>
      </w:r>
      <w:r>
        <w:rPr>
          <w:color w:val="auto"/>
          <w:highlight w:val="none"/>
        </w:rPr>
        <w:instrText xml:space="preserve"> HYPERLINK \l "_Toc67589036" </w:instrText>
      </w:r>
      <w:r>
        <w:rPr>
          <w:color w:val="auto"/>
          <w:highlight w:val="none"/>
        </w:rPr>
        <w:fldChar w:fldCharType="separate"/>
      </w:r>
      <w:r>
        <w:rPr>
          <w:rFonts w:hint="eastAsia" w:ascii="宋体" w:hAnsi="宋体" w:cs="宋体"/>
          <w:b w:val="0"/>
          <w:bCs/>
          <w:color w:val="auto"/>
          <w:highlight w:val="none"/>
        </w:rPr>
        <w:t>工程量清单编制</w:t>
      </w:r>
      <w:r>
        <w:rPr>
          <w:rFonts w:hint="eastAsia" w:ascii="宋体" w:hAnsi="宋体" w:cs="宋体"/>
          <w:b w:val="0"/>
          <w:bCs/>
          <w:color w:val="auto"/>
          <w:highlight w:val="none"/>
        </w:rPr>
        <w:fldChar w:fldCharType="end"/>
      </w:r>
      <w:r>
        <w:rPr>
          <w:rFonts w:hint="eastAsia" w:ascii="宋体" w:hAnsi="宋体" w:cs="宋体"/>
          <w:b w:val="0"/>
          <w:bCs/>
          <w:color w:val="auto"/>
          <w:highlight w:val="none"/>
        </w:rPr>
        <w:t>………………………………………………………(</w:t>
      </w:r>
      <w:r>
        <w:rPr>
          <w:rFonts w:hint="eastAsia" w:ascii="宋体" w:hAnsi="宋体" w:cs="宋体"/>
          <w:b w:val="0"/>
          <w:bCs/>
          <w:color w:val="auto"/>
          <w:highlight w:val="none"/>
          <w:lang w:val="en-US" w:eastAsia="zh-CN"/>
        </w:rPr>
        <w:t>72</w:t>
      </w:r>
      <w:r>
        <w:rPr>
          <w:rFonts w:hint="eastAsia" w:ascii="宋体" w:hAnsi="宋体" w:cs="宋体"/>
          <w:b w:val="0"/>
          <w:bCs/>
          <w:color w:val="auto"/>
          <w:highlight w:val="none"/>
        </w:rPr>
        <w:t>)</w:t>
      </w:r>
    </w:p>
    <w:p>
      <w:pPr>
        <w:pStyle w:val="17"/>
        <w:jc w:val="distribute"/>
        <w:rPr>
          <w:rFonts w:ascii="宋体" w:hAnsi="宋体" w:cs="宋体"/>
          <w:b w:val="0"/>
          <w:bCs/>
          <w:color w:val="auto"/>
          <w:highlight w:val="none"/>
        </w:rPr>
      </w:pPr>
      <w:r>
        <w:rPr>
          <w:color w:val="auto"/>
          <w:highlight w:val="none"/>
        </w:rPr>
        <w:fldChar w:fldCharType="begin"/>
      </w:r>
      <w:r>
        <w:rPr>
          <w:color w:val="auto"/>
          <w:highlight w:val="none"/>
        </w:rPr>
        <w:instrText xml:space="preserve"> HYPERLINK \l "_Toc67589037" </w:instrText>
      </w:r>
      <w:r>
        <w:rPr>
          <w:color w:val="auto"/>
          <w:highlight w:val="none"/>
        </w:rPr>
        <w:fldChar w:fldCharType="separate"/>
      </w:r>
      <w:r>
        <w:rPr>
          <w:rFonts w:hint="eastAsia" w:ascii="宋体" w:hAnsi="宋体" w:cs="宋体"/>
          <w:b w:val="0"/>
          <w:bCs/>
          <w:color w:val="auto"/>
          <w:highlight w:val="none"/>
        </w:rPr>
        <w:t>图纸</w:t>
      </w:r>
      <w:r>
        <w:rPr>
          <w:rFonts w:hint="eastAsia" w:ascii="宋体" w:hAnsi="宋体" w:cs="宋体"/>
          <w:b w:val="0"/>
          <w:bCs/>
          <w:color w:val="auto"/>
          <w:highlight w:val="none"/>
        </w:rPr>
        <w:fldChar w:fldCharType="end"/>
      </w:r>
      <w:r>
        <w:rPr>
          <w:rFonts w:hint="eastAsia" w:ascii="宋体" w:hAnsi="宋体" w:cs="宋体"/>
          <w:b w:val="0"/>
          <w:bCs/>
          <w:color w:val="auto"/>
          <w:highlight w:val="none"/>
        </w:rPr>
        <w:t>……………………………………………………………………(</w:t>
      </w:r>
      <w:r>
        <w:rPr>
          <w:rFonts w:hint="eastAsia" w:ascii="宋体" w:hAnsi="宋体" w:cs="宋体"/>
          <w:b w:val="0"/>
          <w:bCs/>
          <w:color w:val="auto"/>
          <w:highlight w:val="none"/>
          <w:lang w:val="en-US" w:eastAsia="zh-CN"/>
        </w:rPr>
        <w:t>90</w:t>
      </w:r>
      <w:r>
        <w:rPr>
          <w:rFonts w:hint="eastAsia" w:ascii="宋体" w:hAnsi="宋体" w:cs="宋体"/>
          <w:b w:val="0"/>
          <w:bCs/>
          <w:color w:val="auto"/>
          <w:highlight w:val="none"/>
        </w:rPr>
        <w:t>)</w:t>
      </w:r>
    </w:p>
    <w:p>
      <w:pPr>
        <w:pStyle w:val="17"/>
        <w:jc w:val="distribute"/>
        <w:rPr>
          <w:rFonts w:ascii="宋体" w:hAnsi="宋体" w:cs="宋体"/>
          <w:b w:val="0"/>
          <w:bCs/>
          <w:color w:val="auto"/>
          <w:highlight w:val="none"/>
        </w:rPr>
      </w:pPr>
      <w:r>
        <w:rPr>
          <w:color w:val="auto"/>
          <w:highlight w:val="none"/>
        </w:rPr>
        <w:fldChar w:fldCharType="begin"/>
      </w:r>
      <w:r>
        <w:rPr>
          <w:color w:val="auto"/>
          <w:highlight w:val="none"/>
        </w:rPr>
        <w:instrText xml:space="preserve"> HYPERLINK \l "_Toc67589038" </w:instrText>
      </w:r>
      <w:r>
        <w:rPr>
          <w:color w:val="auto"/>
          <w:highlight w:val="none"/>
        </w:rPr>
        <w:fldChar w:fldCharType="separate"/>
      </w:r>
      <w:r>
        <w:rPr>
          <w:rFonts w:hint="eastAsia" w:ascii="宋体" w:hAnsi="宋体" w:cs="宋体"/>
          <w:b w:val="0"/>
          <w:bCs/>
          <w:color w:val="auto"/>
          <w:highlight w:val="none"/>
        </w:rPr>
        <w:t>技术标准和要求</w:t>
      </w:r>
      <w:r>
        <w:rPr>
          <w:rFonts w:hint="eastAsia" w:ascii="宋体" w:hAnsi="宋体" w:cs="宋体"/>
          <w:b w:val="0"/>
          <w:bCs/>
          <w:color w:val="auto"/>
          <w:highlight w:val="none"/>
        </w:rPr>
        <w:fldChar w:fldCharType="end"/>
      </w:r>
      <w:r>
        <w:rPr>
          <w:rFonts w:hint="eastAsia" w:ascii="宋体" w:hAnsi="宋体" w:cs="宋体"/>
          <w:b w:val="0"/>
          <w:bCs/>
          <w:color w:val="auto"/>
          <w:highlight w:val="none"/>
        </w:rPr>
        <w:t>………………………………………………………(</w:t>
      </w:r>
      <w:r>
        <w:rPr>
          <w:rFonts w:hint="eastAsia" w:ascii="宋体" w:hAnsi="宋体" w:cs="宋体"/>
          <w:b w:val="0"/>
          <w:bCs/>
          <w:color w:val="auto"/>
          <w:highlight w:val="none"/>
          <w:lang w:val="en-US" w:eastAsia="zh-CN"/>
        </w:rPr>
        <w:t>96</w:t>
      </w:r>
      <w:r>
        <w:rPr>
          <w:rFonts w:hint="eastAsia" w:ascii="宋体" w:hAnsi="宋体" w:cs="宋体"/>
          <w:b w:val="0"/>
          <w:bCs/>
          <w:color w:val="auto"/>
          <w:highlight w:val="none"/>
        </w:rPr>
        <w:t>)</w:t>
      </w:r>
    </w:p>
    <w:p>
      <w:pPr>
        <w:pStyle w:val="3"/>
        <w:ind w:left="6"/>
        <w:jc w:val="both"/>
        <w:rPr>
          <w:rFonts w:hint="eastAsia" w:ascii="Wingdings 2" w:hAnsi="Wingdings 2"/>
          <w:b/>
          <w:color w:val="auto"/>
          <w:highlight w:val="none"/>
        </w:rPr>
      </w:pPr>
      <w:r>
        <w:rPr>
          <w:rFonts w:hint="eastAsia" w:ascii="宋体" w:hAnsi="宋体" w:eastAsia="宋体" w:cs="宋体"/>
          <w:color w:val="auto"/>
          <w:sz w:val="24"/>
          <w:szCs w:val="24"/>
          <w:highlight w:val="none"/>
        </w:rPr>
        <w:t>投标文件格式……………………………………………………………………………(</w:t>
      </w:r>
      <w:r>
        <w:rPr>
          <w:rFonts w:hint="eastAsia" w:ascii="宋体" w:hAnsi="宋体" w:eastAsia="宋体" w:cs="宋体"/>
          <w:color w:val="auto"/>
          <w:sz w:val="24"/>
          <w:szCs w:val="24"/>
          <w:highlight w:val="none"/>
          <w:lang w:val="en-US" w:eastAsia="zh-CN"/>
        </w:rPr>
        <w:t>109</w:t>
      </w:r>
      <w:r>
        <w:rPr>
          <w:rFonts w:hint="eastAsia" w:ascii="宋体" w:hAnsi="宋体" w:eastAsia="宋体" w:cs="宋体"/>
          <w:color w:val="auto"/>
          <w:sz w:val="24"/>
          <w:szCs w:val="24"/>
          <w:highlight w:val="none"/>
        </w:rPr>
        <w:t>)</w:t>
      </w:r>
      <w:bookmarkStart w:id="1" w:name="bookmark1"/>
      <w:bookmarkEnd w:id="1"/>
      <w:bookmarkStart w:id="2" w:name="_Toc22828050"/>
      <w:bookmarkEnd w:id="2"/>
      <w:bookmarkStart w:id="3" w:name="_Toc45697219"/>
      <w:bookmarkEnd w:id="3"/>
      <w:bookmarkStart w:id="4" w:name="_Toc67589032"/>
    </w:p>
    <w:p>
      <w:pPr>
        <w:pStyle w:val="3"/>
        <w:ind w:left="6"/>
        <w:rPr>
          <w:rFonts w:hint="eastAsia" w:ascii="Wingdings 2" w:hAnsi="Wingdings 2"/>
          <w:b/>
          <w:color w:val="auto"/>
          <w:highlight w:val="none"/>
        </w:rPr>
      </w:pPr>
    </w:p>
    <w:p>
      <w:pPr>
        <w:pStyle w:val="3"/>
        <w:ind w:left="6"/>
        <w:rPr>
          <w:rFonts w:hint="eastAsia" w:ascii="Wingdings 2" w:hAnsi="Wingdings 2"/>
          <w:b/>
          <w:color w:val="auto"/>
          <w:highlight w:val="none"/>
        </w:rPr>
      </w:pPr>
    </w:p>
    <w:p>
      <w:pPr>
        <w:pStyle w:val="3"/>
        <w:ind w:left="6"/>
        <w:rPr>
          <w:rFonts w:hint="eastAsia" w:ascii="Wingdings 2" w:hAnsi="Wingdings 2"/>
          <w:b/>
          <w:color w:val="auto"/>
          <w:highlight w:val="none"/>
        </w:rPr>
      </w:pPr>
    </w:p>
    <w:p>
      <w:pPr>
        <w:pStyle w:val="3"/>
        <w:ind w:left="6"/>
        <w:rPr>
          <w:rFonts w:hint="eastAsia" w:ascii="Wingdings 2" w:hAnsi="Wingdings 2"/>
          <w:b/>
          <w:color w:val="auto"/>
          <w:highlight w:val="none"/>
        </w:rPr>
      </w:pPr>
    </w:p>
    <w:p>
      <w:pPr>
        <w:pStyle w:val="3"/>
        <w:ind w:left="6"/>
        <w:rPr>
          <w:rFonts w:hint="eastAsia" w:ascii="Wingdings 2" w:hAnsi="Wingdings 2"/>
          <w:b/>
          <w:color w:val="auto"/>
          <w:highlight w:val="none"/>
        </w:rPr>
      </w:pPr>
    </w:p>
    <w:p>
      <w:pPr>
        <w:pStyle w:val="3"/>
        <w:ind w:left="6"/>
        <w:rPr>
          <w:rFonts w:hint="eastAsia" w:ascii="Wingdings 2" w:hAnsi="Wingdings 2"/>
          <w:b/>
          <w:color w:val="auto"/>
          <w:highlight w:val="none"/>
        </w:rPr>
      </w:pPr>
    </w:p>
    <w:p>
      <w:pPr>
        <w:pStyle w:val="3"/>
        <w:ind w:left="6"/>
        <w:rPr>
          <w:rFonts w:hint="eastAsia" w:ascii="Wingdings 2" w:hAnsi="Wingdings 2"/>
          <w:b/>
          <w:color w:val="auto"/>
          <w:highlight w:val="none"/>
        </w:rPr>
      </w:pPr>
    </w:p>
    <w:p>
      <w:pPr>
        <w:rPr>
          <w:color w:val="auto"/>
          <w:highlight w:val="none"/>
        </w:rPr>
      </w:pPr>
    </w:p>
    <w:bookmarkEnd w:id="4"/>
    <w:p>
      <w:pPr>
        <w:pStyle w:val="3"/>
        <w:ind w:left="6"/>
        <w:rPr>
          <w:b/>
          <w:color w:val="auto"/>
          <w:highlight w:val="none"/>
        </w:rPr>
      </w:pPr>
      <w:r>
        <w:rPr>
          <w:rFonts w:hint="eastAsia" w:ascii="黑体" w:hAnsi="黑体"/>
          <w:b/>
          <w:color w:val="auto"/>
          <w:highlight w:val="none"/>
        </w:rPr>
        <w:t>☑第一章招标公告</w:t>
      </w:r>
    </w:p>
    <w:p>
      <w:pPr>
        <w:snapToGrid w:val="0"/>
        <w:spacing w:line="400" w:lineRule="exact"/>
        <w:jc w:val="center"/>
        <w:rPr>
          <w:b/>
          <w:color w:val="auto"/>
          <w:sz w:val="24"/>
          <w:szCs w:val="24"/>
          <w:highlight w:val="none"/>
        </w:rPr>
      </w:pP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u w:val="single"/>
          <w:lang w:eastAsia="zh-CN"/>
        </w:rPr>
        <w:t>越城区鉴湖街道C-12地块城市有机更新工程</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rPr>
        <w:t>招标公告</w:t>
      </w:r>
    </w:p>
    <w:p>
      <w:pPr>
        <w:keepNext w:val="0"/>
        <w:keepLines w:val="0"/>
        <w:pageBreakBefore w:val="0"/>
        <w:wordWrap/>
        <w:overflowPunct/>
        <w:topLinePunct w:val="0"/>
        <w:autoSpaceDE w:val="0"/>
        <w:autoSpaceDN w:val="0"/>
        <w:bidi w:val="0"/>
        <w:adjustRightInd w:val="0"/>
        <w:snapToGrid w:val="0"/>
        <w:spacing w:line="420" w:lineRule="exact"/>
        <w:rPr>
          <w:rFonts w:ascii="宋体" w:hAnsi="宋体"/>
          <w:b/>
          <w:color w:val="auto"/>
          <w:sz w:val="21"/>
          <w:szCs w:val="21"/>
          <w:highlight w:val="none"/>
        </w:rPr>
      </w:pPr>
      <w:bookmarkStart w:id="5" w:name="_Toc26002049"/>
      <w:bookmarkEnd w:id="5"/>
      <w:bookmarkStart w:id="6" w:name="_Toc22827968"/>
      <w:bookmarkEnd w:id="6"/>
      <w:bookmarkStart w:id="7" w:name="_Toc45697220"/>
      <w:bookmarkEnd w:id="7"/>
      <w:bookmarkStart w:id="8" w:name="_Toc26001996"/>
      <w:bookmarkEnd w:id="8"/>
      <w:bookmarkStart w:id="9" w:name="bookmark2"/>
      <w:bookmarkEnd w:id="9"/>
      <w:bookmarkStart w:id="10" w:name="_Toc22828051"/>
      <w:bookmarkEnd w:id="10"/>
      <w:bookmarkStart w:id="11" w:name="_Toc24050269"/>
      <w:bookmarkEnd w:id="11"/>
      <w:bookmarkStart w:id="12" w:name="_Toc29163"/>
      <w:r>
        <w:rPr>
          <w:rFonts w:hint="eastAsia" w:ascii="宋体" w:hAnsi="宋体"/>
          <w:b/>
          <w:color w:val="auto"/>
          <w:sz w:val="21"/>
          <w:szCs w:val="21"/>
          <w:highlight w:val="none"/>
        </w:rPr>
        <w:t>1.招标条件</w:t>
      </w:r>
      <w:bookmarkEnd w:id="12"/>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18" w:firstLineChars="200"/>
        <w:jc w:val="both"/>
        <w:rPr>
          <w:color w:val="auto"/>
          <w:sz w:val="21"/>
          <w:szCs w:val="21"/>
          <w:highlight w:val="none"/>
        </w:rPr>
      </w:pPr>
      <w:bookmarkStart w:id="13" w:name="_Hlk24015002"/>
      <w:r>
        <w:rPr>
          <w:rFonts w:hint="eastAsia" w:ascii="宋体" w:hAnsi="宋体"/>
          <w:b/>
          <w:bCs/>
          <w:color w:val="auto"/>
          <w:spacing w:val="-1"/>
          <w:sz w:val="21"/>
          <w:szCs w:val="21"/>
          <w:highlight w:val="none"/>
          <w:u w:val="single"/>
        </w:rPr>
        <w:t xml:space="preserve"> </w:t>
      </w:r>
      <w:bookmarkEnd w:id="13"/>
      <w:r>
        <w:rPr>
          <w:rFonts w:hint="eastAsia" w:ascii="宋体" w:hAnsi="宋体"/>
          <w:b/>
          <w:bCs/>
          <w:color w:val="auto"/>
          <w:spacing w:val="-1"/>
          <w:sz w:val="21"/>
          <w:szCs w:val="21"/>
          <w:highlight w:val="none"/>
          <w:u w:val="single"/>
          <w:lang w:eastAsia="zh-CN"/>
        </w:rPr>
        <w:t>越城区鉴湖街道C-12地块城市有机更新工程</w:t>
      </w:r>
      <w:r>
        <w:rPr>
          <w:rFonts w:hint="eastAsia" w:ascii="宋体" w:hAnsi="宋体"/>
          <w:color w:val="auto"/>
          <w:spacing w:val="-1"/>
          <w:sz w:val="21"/>
          <w:szCs w:val="21"/>
          <w:highlight w:val="none"/>
        </w:rPr>
        <w:t>已由</w:t>
      </w:r>
      <w:r>
        <w:rPr>
          <w:rFonts w:hint="eastAsia" w:ascii="宋体" w:hAnsi="宋体"/>
          <w:b/>
          <w:bCs/>
          <w:color w:val="auto"/>
          <w:spacing w:val="-1"/>
          <w:sz w:val="21"/>
          <w:szCs w:val="21"/>
          <w:highlight w:val="none"/>
          <w:u w:val="single"/>
        </w:rPr>
        <w:t>绍兴市越城区发展和改革局</w:t>
      </w:r>
      <w:r>
        <w:rPr>
          <w:rFonts w:hint="eastAsia" w:ascii="宋体" w:hAnsi="宋体"/>
          <w:color w:val="auto"/>
          <w:spacing w:val="-5"/>
          <w:sz w:val="21"/>
          <w:szCs w:val="21"/>
          <w:highlight w:val="none"/>
        </w:rPr>
        <w:t>以</w:t>
      </w:r>
      <w:r>
        <w:rPr>
          <w:rFonts w:hint="eastAsia" w:ascii="宋体" w:hAnsi="宋体"/>
          <w:color w:val="auto"/>
          <w:spacing w:val="-5"/>
          <w:sz w:val="21"/>
          <w:szCs w:val="21"/>
          <w:highlight w:val="none"/>
          <w:u w:val="single"/>
          <w:lang w:val="en-US" w:eastAsia="zh-CN"/>
        </w:rPr>
        <w:t>2104-330602-04-01-307334</w:t>
      </w:r>
      <w:r>
        <w:rPr>
          <w:rFonts w:hint="eastAsia" w:ascii="宋体" w:hAnsi="宋体"/>
          <w:color w:val="auto"/>
          <w:spacing w:val="-4"/>
          <w:sz w:val="21"/>
          <w:szCs w:val="21"/>
          <w:highlight w:val="none"/>
        </w:rPr>
        <w:t>批准建设，建设资金来</w:t>
      </w:r>
      <w:r>
        <w:rPr>
          <w:rFonts w:hint="eastAsia" w:ascii="宋体" w:hAnsi="宋体"/>
          <w:color w:val="auto"/>
          <w:spacing w:val="-1"/>
          <w:sz w:val="21"/>
          <w:szCs w:val="21"/>
          <w:highlight w:val="none"/>
        </w:rPr>
        <w:t>自</w:t>
      </w:r>
      <w:r>
        <w:rPr>
          <w:rFonts w:hint="eastAsia" w:ascii="宋体" w:hAnsi="宋体"/>
          <w:color w:val="auto"/>
          <w:spacing w:val="-1"/>
          <w:sz w:val="21"/>
          <w:szCs w:val="21"/>
          <w:highlight w:val="none"/>
          <w:u w:val="single"/>
        </w:rPr>
        <w:t xml:space="preserve"> </w:t>
      </w:r>
      <w:r>
        <w:rPr>
          <w:rFonts w:hint="eastAsia" w:ascii="宋体" w:hAnsi="宋体"/>
          <w:b/>
          <w:bCs/>
          <w:color w:val="auto"/>
          <w:spacing w:val="-1"/>
          <w:sz w:val="21"/>
          <w:szCs w:val="21"/>
          <w:highlight w:val="none"/>
          <w:u w:val="single"/>
        </w:rPr>
        <w:t xml:space="preserve">自筹 </w:t>
      </w:r>
      <w:r>
        <w:rPr>
          <w:rFonts w:hint="eastAsia" w:ascii="宋体" w:hAnsi="宋体"/>
          <w:color w:val="auto"/>
          <w:spacing w:val="-12"/>
          <w:sz w:val="21"/>
          <w:szCs w:val="21"/>
          <w:highlight w:val="none"/>
          <w:u w:val="single"/>
        </w:rPr>
        <w:t xml:space="preserve"> </w:t>
      </w:r>
      <w:r>
        <w:rPr>
          <w:rFonts w:hint="eastAsia" w:ascii="宋体" w:hAnsi="宋体"/>
          <w:color w:val="auto"/>
          <w:spacing w:val="-12"/>
          <w:sz w:val="21"/>
          <w:szCs w:val="21"/>
          <w:highlight w:val="none"/>
        </w:rPr>
        <w:t>，出资比例为</w:t>
      </w:r>
      <w:r>
        <w:rPr>
          <w:rFonts w:hint="eastAsia" w:ascii="宋体" w:hAnsi="宋体"/>
          <w:b/>
          <w:bCs/>
          <w:color w:val="auto"/>
          <w:spacing w:val="-1"/>
          <w:sz w:val="21"/>
          <w:szCs w:val="21"/>
          <w:highlight w:val="none"/>
          <w:u w:val="single"/>
        </w:rPr>
        <w:t>100%</w:t>
      </w:r>
      <w:r>
        <w:rPr>
          <w:rFonts w:hint="eastAsia" w:ascii="宋体" w:hAnsi="宋体"/>
          <w:color w:val="auto"/>
          <w:spacing w:val="-6"/>
          <w:sz w:val="21"/>
          <w:szCs w:val="21"/>
          <w:highlight w:val="none"/>
        </w:rPr>
        <w:t>，项目业主为</w:t>
      </w:r>
      <w:r>
        <w:rPr>
          <w:rFonts w:hint="eastAsia" w:ascii="宋体" w:hAnsi="宋体"/>
          <w:b/>
          <w:bCs/>
          <w:color w:val="auto"/>
          <w:spacing w:val="-1"/>
          <w:sz w:val="21"/>
          <w:szCs w:val="21"/>
          <w:highlight w:val="none"/>
          <w:u w:val="single"/>
          <w:lang w:eastAsia="zh-CN"/>
        </w:rPr>
        <w:t>绍兴市越城区建设投资有限公司</w:t>
      </w:r>
      <w:r>
        <w:rPr>
          <w:rFonts w:hint="eastAsia" w:ascii="宋体" w:hAnsi="宋体"/>
          <w:color w:val="auto"/>
          <w:spacing w:val="-6"/>
          <w:sz w:val="21"/>
          <w:szCs w:val="21"/>
          <w:highlight w:val="none"/>
        </w:rPr>
        <w:t>，招标人为</w:t>
      </w:r>
      <w:r>
        <w:rPr>
          <w:rFonts w:hint="eastAsia" w:ascii="宋体" w:hAnsi="宋体"/>
          <w:b/>
          <w:bCs/>
          <w:color w:val="auto"/>
          <w:spacing w:val="-1"/>
          <w:sz w:val="21"/>
          <w:szCs w:val="21"/>
          <w:highlight w:val="none"/>
          <w:u w:val="single"/>
          <w:lang w:eastAsia="zh-CN"/>
        </w:rPr>
        <w:t>绍兴市越城区建设投资有限公司</w:t>
      </w:r>
      <w:r>
        <w:rPr>
          <w:rFonts w:hint="eastAsia" w:ascii="宋体" w:hAnsi="宋体"/>
          <w:color w:val="auto"/>
          <w:spacing w:val="-6"/>
          <w:sz w:val="21"/>
          <w:szCs w:val="21"/>
          <w:highlight w:val="none"/>
        </w:rPr>
        <w:t>，委托代理机构为</w:t>
      </w:r>
      <w:r>
        <w:rPr>
          <w:rFonts w:hint="eastAsia" w:ascii="宋体" w:hAnsi="宋体"/>
          <w:b/>
          <w:bCs/>
          <w:color w:val="auto"/>
          <w:spacing w:val="-1"/>
          <w:sz w:val="21"/>
          <w:szCs w:val="21"/>
          <w:highlight w:val="none"/>
          <w:u w:val="single"/>
          <w:lang w:eastAsia="zh-CN"/>
        </w:rPr>
        <w:t>中冠工程管理咨询有限公司</w:t>
      </w:r>
      <w:r>
        <w:rPr>
          <w:rFonts w:hint="eastAsia" w:ascii="宋体" w:hAnsi="宋体"/>
          <w:color w:val="auto"/>
          <w:spacing w:val="-4"/>
          <w:sz w:val="21"/>
          <w:szCs w:val="21"/>
          <w:highlight w:val="none"/>
        </w:rPr>
        <w:t>。项目已具备招标</w:t>
      </w:r>
      <w:r>
        <w:rPr>
          <w:rFonts w:hint="eastAsia" w:ascii="宋体" w:hAnsi="宋体"/>
          <w:color w:val="auto"/>
          <w:sz w:val="21"/>
          <w:szCs w:val="21"/>
          <w:highlight w:val="none"/>
        </w:rPr>
        <w:t>条件，现对该项目的</w:t>
      </w:r>
      <w:r>
        <w:rPr>
          <w:rFonts w:hint="eastAsia" w:ascii="宋体" w:hAnsi="宋体"/>
          <w:b/>
          <w:bCs/>
          <w:color w:val="auto"/>
          <w:sz w:val="21"/>
          <w:szCs w:val="21"/>
          <w:highlight w:val="none"/>
          <w:u w:val="single"/>
        </w:rPr>
        <w:t>施工总承包</w:t>
      </w:r>
      <w:r>
        <w:rPr>
          <w:rFonts w:hint="eastAsia" w:ascii="宋体" w:hAnsi="宋体"/>
          <w:color w:val="auto"/>
          <w:sz w:val="21"/>
          <w:szCs w:val="21"/>
          <w:highlight w:val="none"/>
        </w:rPr>
        <w:t>进行公开招标。</w:t>
      </w:r>
    </w:p>
    <w:p>
      <w:pPr>
        <w:keepNext w:val="0"/>
        <w:keepLines w:val="0"/>
        <w:pageBreakBefore w:val="0"/>
        <w:wordWrap/>
        <w:overflowPunct/>
        <w:topLinePunct w:val="0"/>
        <w:autoSpaceDE w:val="0"/>
        <w:autoSpaceDN w:val="0"/>
        <w:bidi w:val="0"/>
        <w:adjustRightInd w:val="0"/>
        <w:snapToGrid w:val="0"/>
        <w:spacing w:line="420" w:lineRule="exact"/>
        <w:rPr>
          <w:rFonts w:ascii="宋体" w:hAnsi="宋体"/>
          <w:b/>
          <w:color w:val="auto"/>
          <w:sz w:val="21"/>
          <w:szCs w:val="21"/>
          <w:highlight w:val="none"/>
        </w:rPr>
      </w:pPr>
      <w:bookmarkStart w:id="14" w:name="_Toc26001997"/>
      <w:bookmarkEnd w:id="14"/>
      <w:bookmarkStart w:id="15" w:name="_Toc20011"/>
      <w:bookmarkEnd w:id="15"/>
      <w:bookmarkStart w:id="16" w:name="bookmark3"/>
      <w:bookmarkEnd w:id="16"/>
      <w:bookmarkStart w:id="17" w:name="_Toc45697221"/>
      <w:bookmarkEnd w:id="17"/>
      <w:bookmarkStart w:id="18" w:name="_Toc22828052"/>
      <w:bookmarkEnd w:id="18"/>
      <w:bookmarkStart w:id="19" w:name="_Toc24050270"/>
      <w:bookmarkEnd w:id="19"/>
      <w:bookmarkStart w:id="20" w:name="_Toc26002050"/>
      <w:bookmarkEnd w:id="20"/>
      <w:bookmarkStart w:id="21" w:name="_Toc22827969"/>
      <w:r>
        <w:rPr>
          <w:rFonts w:hint="eastAsia" w:ascii="宋体" w:hAnsi="宋体"/>
          <w:b/>
          <w:color w:val="auto"/>
          <w:sz w:val="21"/>
          <w:szCs w:val="21"/>
          <w:highlight w:val="none"/>
        </w:rPr>
        <w:t>2.项目概况与招标范围</w:t>
      </w:r>
      <w:bookmarkEnd w:id="21"/>
      <w:bookmarkStart w:id="22" w:name="_Hlk24015039"/>
      <w:bookmarkEnd w:id="22"/>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2.1项目概况：本项目工程建安概算</w:t>
      </w:r>
      <w:r>
        <w:rPr>
          <w:rFonts w:hint="eastAsia" w:ascii="宋体" w:hAnsi="宋体"/>
          <w:b/>
          <w:bCs/>
          <w:color w:val="auto"/>
          <w:sz w:val="21"/>
          <w:szCs w:val="21"/>
          <w:highlight w:val="none"/>
          <w:u w:val="single"/>
        </w:rPr>
        <w:t>约</w:t>
      </w:r>
      <w:r>
        <w:rPr>
          <w:rFonts w:hint="eastAsia" w:ascii="宋体" w:hAnsi="宋体"/>
          <w:b/>
          <w:bCs/>
          <w:color w:val="auto"/>
          <w:sz w:val="21"/>
          <w:szCs w:val="21"/>
          <w:highlight w:val="none"/>
          <w:u w:val="single"/>
          <w:lang w:val="en-US" w:eastAsia="zh-CN"/>
        </w:rPr>
        <w:t>48751.4</w:t>
      </w:r>
      <w:r>
        <w:rPr>
          <w:rFonts w:hint="eastAsia" w:ascii="宋体" w:hAnsi="宋体"/>
          <w:color w:val="auto"/>
          <w:sz w:val="21"/>
          <w:szCs w:val="21"/>
          <w:highlight w:val="none"/>
        </w:rPr>
        <w:t>万元，建设规模：</w:t>
      </w:r>
      <w:r>
        <w:rPr>
          <w:rFonts w:hint="eastAsia" w:ascii="宋体" w:hAnsi="宋体"/>
          <w:b/>
          <w:color w:val="auto"/>
          <w:sz w:val="21"/>
          <w:szCs w:val="21"/>
          <w:highlight w:val="none"/>
          <w:u w:val="single"/>
        </w:rPr>
        <w:t>建筑面积约102841.7平方米，其中地上建筑面积约71950.32平方米；地下建筑面积约30891.38平方米，地下1层。本工程为混凝土结构装配式建筑，装配率不低于50%。</w:t>
      </w:r>
      <w:r>
        <w:rPr>
          <w:rFonts w:hint="eastAsia" w:ascii="宋体" w:hAnsi="宋体"/>
          <w:color w:val="auto"/>
          <w:sz w:val="21"/>
          <w:szCs w:val="21"/>
          <w:highlight w:val="none"/>
        </w:rPr>
        <w:t>建设地点：</w:t>
      </w:r>
      <w:r>
        <w:rPr>
          <w:rFonts w:hint="eastAsia" w:ascii="宋体" w:hAnsi="宋体"/>
          <w:b/>
          <w:color w:val="auto"/>
          <w:sz w:val="21"/>
          <w:szCs w:val="21"/>
          <w:highlight w:val="none"/>
          <w:u w:val="single"/>
          <w:lang w:val="en-US" w:eastAsia="zh-CN"/>
        </w:rPr>
        <w:t>鉴湖街道栖凫村</w:t>
      </w:r>
      <w:r>
        <w:rPr>
          <w:rFonts w:hint="eastAsia" w:ascii="宋体" w:hAnsi="宋体"/>
          <w:color w:val="auto"/>
          <w:sz w:val="21"/>
          <w:szCs w:val="21"/>
          <w:highlight w:val="none"/>
        </w:rPr>
        <w:t>。</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hint="default" w:ascii="宋体" w:hAnsi="宋体" w:eastAsia="宋体"/>
          <w:b/>
          <w:bCs/>
          <w:color w:val="auto"/>
          <w:spacing w:val="-1"/>
          <w:sz w:val="21"/>
          <w:szCs w:val="21"/>
          <w:highlight w:val="none"/>
          <w:u w:val="single"/>
          <w:lang w:val="en-US" w:eastAsia="zh-CN"/>
        </w:rPr>
      </w:pPr>
      <w:r>
        <w:rPr>
          <w:rFonts w:hint="eastAsia" w:ascii="宋体" w:hAnsi="宋体"/>
          <w:color w:val="auto"/>
          <w:sz w:val="21"/>
          <w:szCs w:val="21"/>
          <w:highlight w:val="none"/>
        </w:rPr>
        <w:t>2.2招标范围：</w:t>
      </w:r>
      <w:r>
        <w:rPr>
          <w:rFonts w:hint="eastAsia" w:ascii="宋体" w:hAnsi="宋体" w:cs="Arial"/>
          <w:b/>
          <w:kern w:val="0"/>
          <w:szCs w:val="21"/>
          <w:highlight w:val="none"/>
          <w:u w:val="single"/>
        </w:rPr>
        <w:t>包括本工程施工图范围内主体土方工程、基坑支护工程、桩基工程、建筑结构工程、装饰装修工程、1#-11#及门廊的外立面石材幕墙、铝板幕墙、雨蓬及百叶格栅等幕墙工程、给排水工程、消防工程、暖通工程、强电工程、弱电工程、室外总体配套工程（景观绿化、道路广场、室外电气、室外给排水管网、雨水回用、围墙、大门等）。具体内容详见施工图及标底。</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rPr>
          <w:rFonts w:ascii="宋体" w:hAnsi="宋体"/>
          <w:color w:val="auto"/>
          <w:sz w:val="21"/>
          <w:szCs w:val="21"/>
          <w:highlight w:val="none"/>
        </w:rPr>
      </w:pPr>
      <w:r>
        <w:rPr>
          <w:rFonts w:hint="eastAsia" w:ascii="宋体" w:hAnsi="宋体"/>
          <w:color w:val="auto"/>
          <w:sz w:val="21"/>
          <w:szCs w:val="21"/>
          <w:highlight w:val="none"/>
        </w:rPr>
        <w:t>本次招标建安工程造价：</w:t>
      </w:r>
      <w:r>
        <w:rPr>
          <w:rFonts w:hint="eastAsia" w:ascii="宋体" w:hAnsi="宋体"/>
          <w:color w:val="auto"/>
          <w:sz w:val="21"/>
          <w:szCs w:val="21"/>
          <w:highlight w:val="none"/>
          <w:u w:val="single"/>
          <w:lang w:val="en-US" w:eastAsia="zh-CN"/>
        </w:rPr>
        <w:t xml:space="preserve"> 41588.7485</w:t>
      </w:r>
      <w:r>
        <w:rPr>
          <w:rFonts w:hint="eastAsia" w:ascii="宋体" w:hAnsi="宋体"/>
          <w:color w:val="auto"/>
          <w:sz w:val="21"/>
          <w:szCs w:val="21"/>
          <w:highlight w:val="none"/>
          <w:u w:val="single"/>
        </w:rPr>
        <w:t>万元</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lang w:val="en-US" w:eastAsia="zh-CN"/>
        </w:rPr>
        <w:t>以标底审核价格为准</w:t>
      </w:r>
      <w:r>
        <w:rPr>
          <w:rFonts w:hint="eastAsia" w:ascii="宋体" w:hAnsi="宋体"/>
          <w:color w:val="auto"/>
          <w:sz w:val="21"/>
          <w:szCs w:val="21"/>
          <w:highlight w:val="none"/>
          <w:u w:val="single"/>
          <w:lang w:eastAsia="zh-CN"/>
        </w:rPr>
        <w:t>）</w:t>
      </w:r>
      <w:r>
        <w:rPr>
          <w:rFonts w:hint="eastAsia" w:ascii="宋体" w:hAnsi="宋体"/>
          <w:b/>
          <w:color w:val="auto"/>
          <w:sz w:val="21"/>
          <w:szCs w:val="21"/>
          <w:highlight w:val="none"/>
          <w:u w:val="single"/>
        </w:rPr>
        <w:t>。</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ascii="宋体" w:hAnsi="宋体"/>
          <w:color w:val="auto"/>
          <w:sz w:val="21"/>
          <w:szCs w:val="21"/>
          <w:highlight w:val="none"/>
          <w:u w:val="single"/>
        </w:rPr>
      </w:pPr>
      <w:r>
        <w:rPr>
          <w:rFonts w:hint="eastAsia" w:ascii="宋体" w:hAnsi="宋体"/>
          <w:color w:val="auto"/>
          <w:sz w:val="21"/>
          <w:szCs w:val="21"/>
          <w:highlight w:val="none"/>
        </w:rPr>
        <w:t>2.3施工总工期：</w:t>
      </w:r>
      <w:r>
        <w:rPr>
          <w:rFonts w:hint="eastAsia" w:ascii="宋体" w:hAnsi="宋体"/>
          <w:color w:val="auto"/>
          <w:sz w:val="21"/>
          <w:szCs w:val="21"/>
          <w:highlight w:val="none"/>
          <w:u w:val="single"/>
          <w:lang w:val="en-US" w:eastAsia="zh-CN"/>
        </w:rPr>
        <w:t>900</w:t>
      </w:r>
      <w:r>
        <w:rPr>
          <w:rFonts w:hint="eastAsia" w:ascii="宋体" w:hAnsi="宋体"/>
          <w:b/>
          <w:bCs/>
          <w:color w:val="auto"/>
          <w:spacing w:val="-1"/>
          <w:sz w:val="21"/>
          <w:szCs w:val="21"/>
          <w:highlight w:val="none"/>
          <w:u w:val="single"/>
          <w:lang w:val="zh-CN"/>
        </w:rPr>
        <w:t>日历天</w:t>
      </w:r>
      <w:r>
        <w:rPr>
          <w:rFonts w:hint="eastAsia" w:ascii="宋体" w:hAnsi="宋体"/>
          <w:color w:val="auto"/>
          <w:sz w:val="21"/>
          <w:szCs w:val="21"/>
          <w:highlight w:val="none"/>
        </w:rPr>
        <w:t>。</w:t>
      </w:r>
    </w:p>
    <w:p>
      <w:pPr>
        <w:keepNext w:val="0"/>
        <w:keepLines w:val="0"/>
        <w:pageBreakBefore w:val="0"/>
        <w:wordWrap/>
        <w:overflowPunct/>
        <w:topLinePunct w:val="0"/>
        <w:autoSpaceDE w:val="0"/>
        <w:autoSpaceDN w:val="0"/>
        <w:bidi w:val="0"/>
        <w:adjustRightInd w:val="0"/>
        <w:snapToGrid w:val="0"/>
        <w:spacing w:line="420" w:lineRule="exact"/>
        <w:rPr>
          <w:rFonts w:ascii="宋体" w:hAnsi="宋体"/>
          <w:b/>
          <w:color w:val="auto"/>
          <w:sz w:val="21"/>
          <w:szCs w:val="21"/>
          <w:highlight w:val="none"/>
        </w:rPr>
      </w:pPr>
      <w:bookmarkStart w:id="23" w:name="_Toc26002051"/>
      <w:bookmarkEnd w:id="23"/>
      <w:bookmarkStart w:id="24" w:name="_Toc24050271"/>
      <w:bookmarkEnd w:id="24"/>
      <w:bookmarkStart w:id="25" w:name="_Toc6739"/>
      <w:bookmarkEnd w:id="25"/>
      <w:bookmarkStart w:id="26" w:name="bookmark4"/>
      <w:bookmarkEnd w:id="26"/>
      <w:bookmarkStart w:id="27" w:name="_Toc45697222"/>
      <w:bookmarkEnd w:id="27"/>
      <w:bookmarkStart w:id="28" w:name="_Toc22827970"/>
      <w:bookmarkEnd w:id="28"/>
      <w:bookmarkStart w:id="29" w:name="_Toc22828053"/>
      <w:bookmarkEnd w:id="29"/>
      <w:bookmarkStart w:id="30" w:name="_Toc26001998"/>
      <w:r>
        <w:rPr>
          <w:rFonts w:hint="eastAsia" w:ascii="宋体" w:hAnsi="宋体"/>
          <w:b/>
          <w:color w:val="auto"/>
          <w:sz w:val="21"/>
          <w:szCs w:val="21"/>
          <w:highlight w:val="none"/>
        </w:rPr>
        <w:t>3.投标人资格要求</w:t>
      </w:r>
      <w:bookmarkEnd w:id="30"/>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rPr>
          <w:rFonts w:ascii="宋体" w:hAnsi="宋体"/>
          <w:color w:val="auto"/>
          <w:sz w:val="21"/>
          <w:szCs w:val="21"/>
          <w:highlight w:val="none"/>
        </w:rPr>
      </w:pPr>
      <w:bookmarkStart w:id="31" w:name="_Hlk54099124"/>
      <w:bookmarkEnd w:id="31"/>
      <w:r>
        <w:rPr>
          <w:rFonts w:hint="eastAsia" w:ascii="宋体" w:hAnsi="宋体"/>
          <w:color w:val="auto"/>
          <w:sz w:val="21"/>
          <w:szCs w:val="21"/>
          <w:highlight w:val="none"/>
          <w:shd w:val="clear" w:color="auto" w:fill="FFFFFF"/>
        </w:rPr>
        <w:t>（一）投标人</w:t>
      </w:r>
      <w:r>
        <w:rPr>
          <w:rFonts w:hint="eastAsia" w:ascii="宋体" w:hAnsi="宋体"/>
          <w:color w:val="auto"/>
          <w:sz w:val="21"/>
          <w:szCs w:val="21"/>
          <w:highlight w:val="none"/>
        </w:rPr>
        <w:t>：</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hint="eastAsia" w:ascii="宋体" w:hAnsi="宋体" w:eastAsia="宋体"/>
          <w:color w:val="auto"/>
          <w:sz w:val="21"/>
          <w:szCs w:val="21"/>
          <w:highlight w:val="none"/>
        </w:rPr>
      </w:pPr>
      <w:r>
        <w:rPr>
          <w:rFonts w:hint="eastAsia" w:ascii="宋体" w:hAnsi="宋体"/>
          <w:color w:val="auto"/>
          <w:sz w:val="21"/>
          <w:szCs w:val="21"/>
          <w:highlight w:val="none"/>
        </w:rPr>
        <w:t>3.1具备</w:t>
      </w:r>
      <w:r>
        <w:rPr>
          <w:rFonts w:hint="eastAsia" w:ascii="宋体" w:hAnsi="宋体"/>
          <w:color w:val="auto"/>
          <w:sz w:val="21"/>
          <w:szCs w:val="21"/>
          <w:highlight w:val="none"/>
          <w:u w:val="single"/>
        </w:rPr>
        <w:t xml:space="preserve"> </w:t>
      </w:r>
      <w:r>
        <w:rPr>
          <w:rFonts w:hint="eastAsia" w:ascii="宋体" w:hAnsi="宋体"/>
          <w:b/>
          <w:bCs/>
          <w:color w:val="auto"/>
          <w:spacing w:val="-1"/>
          <w:sz w:val="21"/>
          <w:szCs w:val="21"/>
          <w:highlight w:val="none"/>
          <w:u w:val="single"/>
        </w:rPr>
        <w:t>有效期范围内的建筑工程施工总承包</w:t>
      </w:r>
      <w:r>
        <w:rPr>
          <w:rFonts w:hint="eastAsia" w:ascii="宋体" w:hAnsi="宋体"/>
          <w:b/>
          <w:bCs/>
          <w:color w:val="auto"/>
          <w:spacing w:val="-1"/>
          <w:sz w:val="21"/>
          <w:szCs w:val="21"/>
          <w:highlight w:val="none"/>
          <w:u w:val="single"/>
          <w:lang w:eastAsia="zh-CN"/>
        </w:rPr>
        <w:t>贰</w:t>
      </w:r>
      <w:r>
        <w:rPr>
          <w:rFonts w:hint="eastAsia" w:ascii="宋体" w:hAnsi="宋体"/>
          <w:b/>
          <w:bCs/>
          <w:color w:val="auto"/>
          <w:spacing w:val="-1"/>
          <w:sz w:val="21"/>
          <w:szCs w:val="21"/>
          <w:highlight w:val="none"/>
          <w:u w:val="single"/>
        </w:rPr>
        <w:t>级及以上</w:t>
      </w:r>
      <w:r>
        <w:rPr>
          <w:rFonts w:hint="eastAsia" w:ascii="宋体" w:hAnsi="宋体"/>
          <w:color w:val="auto"/>
          <w:sz w:val="21"/>
          <w:szCs w:val="21"/>
          <w:highlight w:val="none"/>
        </w:rPr>
        <w:t>资质</w:t>
      </w:r>
      <w:r>
        <w:rPr>
          <w:rFonts w:hint="eastAsia" w:ascii="宋体" w:hAnsi="宋体" w:cs="宋体"/>
          <w:bCs/>
          <w:color w:val="auto"/>
          <w:sz w:val="21"/>
          <w:szCs w:val="21"/>
          <w:highlight w:val="none"/>
        </w:rPr>
        <w:t>；</w:t>
      </w:r>
      <w:r>
        <w:rPr>
          <w:rFonts w:hint="eastAsia" w:ascii="宋体" w:hAnsi="宋体" w:eastAsia="宋体"/>
          <w:color w:val="auto"/>
          <w:sz w:val="21"/>
          <w:szCs w:val="21"/>
          <w:highlight w:val="none"/>
        </w:rPr>
        <w:t>(对应资质应在“浙江省建筑市场监管公共服务系统”上资质动态核查结果处于“合格”状态)</w:t>
      </w:r>
      <w:r>
        <w:rPr>
          <w:rFonts w:hint="eastAsia" w:ascii="宋体" w:hAnsi="宋体" w:eastAsia="宋体"/>
          <w:color w:val="auto"/>
          <w:sz w:val="21"/>
          <w:szCs w:val="21"/>
          <w:highlight w:val="none"/>
          <w:lang w:eastAsia="zh-CN"/>
        </w:rPr>
        <w:t>；</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3.2具备有效的企业安全生产许可证，企业主要负责人（法定代表人、企业经理、企业分管安全生产的副经理、企业技术负责人）具有</w:t>
      </w:r>
      <w:r>
        <w:rPr>
          <w:rFonts w:hint="eastAsia" w:ascii="宋体" w:hAnsi="宋体"/>
          <w:bCs/>
          <w:color w:val="auto"/>
          <w:sz w:val="21"/>
          <w:szCs w:val="21"/>
          <w:highlight w:val="none"/>
        </w:rPr>
        <w:t>专职</w:t>
      </w:r>
      <w:r>
        <w:rPr>
          <w:rFonts w:hint="eastAsia" w:ascii="宋体" w:hAnsi="宋体"/>
          <w:color w:val="auto"/>
          <w:sz w:val="21"/>
          <w:szCs w:val="21"/>
          <w:highlight w:val="none"/>
        </w:rPr>
        <w:t>安全生产管理人员A类证书；</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eastAsia" w:ascii="宋体" w:hAnsi="宋体" w:eastAsia="宋体" w:cs="宋体"/>
          <w:bCs/>
          <w:color w:val="auto"/>
          <w:sz w:val="21"/>
          <w:szCs w:val="21"/>
          <w:highlight w:val="none"/>
          <w:u w:val="single"/>
          <w:lang w:eastAsia="zh-CN"/>
        </w:rPr>
      </w:pPr>
      <w:r>
        <w:rPr>
          <w:rFonts w:hint="eastAsia" w:ascii="宋体" w:hAnsi="宋体"/>
          <w:color w:val="auto"/>
          <w:sz w:val="21"/>
          <w:szCs w:val="21"/>
          <w:highlight w:val="none"/>
        </w:rPr>
        <w:t>3.3</w:t>
      </w:r>
      <w:r>
        <w:rPr>
          <w:rFonts w:hint="eastAsia" w:ascii="宋体" w:hAnsi="宋体" w:cs="宋体"/>
          <w:color w:val="auto"/>
          <w:sz w:val="21"/>
          <w:szCs w:val="21"/>
          <w:highlight w:val="none"/>
        </w:rPr>
        <w:t>☑</w:t>
      </w:r>
      <w:r>
        <w:rPr>
          <w:rFonts w:hint="eastAsia" w:ascii="宋体" w:hAnsi="宋体" w:cs="宋体"/>
          <w:bCs/>
          <w:color w:val="auto"/>
          <w:sz w:val="21"/>
          <w:szCs w:val="21"/>
          <w:highlight w:val="none"/>
          <w:u w:val="single"/>
        </w:rPr>
        <w:t>自 2019 年 1 月 1 日以来完成过单个合同总建筑面积5万平方米及以上PC装配式民用建筑的施工总承包或工程总承包业绩。（</w:t>
      </w:r>
      <w:r>
        <w:rPr>
          <w:rFonts w:hint="eastAsia" w:ascii="宋体" w:hAnsi="宋体" w:cs="宋体"/>
          <w:bCs/>
          <w:color w:val="auto"/>
          <w:sz w:val="21"/>
          <w:szCs w:val="21"/>
          <w:highlight w:val="none"/>
          <w:u w:val="single"/>
          <w:lang w:eastAsia="zh-CN"/>
        </w:rPr>
        <w:t>工程总承包若采用联合体的，投标人在联合体中承担施工任务</w:t>
      </w:r>
      <w:r>
        <w:rPr>
          <w:rFonts w:hint="eastAsia" w:ascii="宋体" w:hAnsi="宋体" w:cs="宋体"/>
          <w:bCs/>
          <w:color w:val="auto"/>
          <w:sz w:val="21"/>
          <w:szCs w:val="21"/>
          <w:highlight w:val="none"/>
          <w:u w:val="single"/>
        </w:rPr>
        <w:t>）</w:t>
      </w:r>
      <w:r>
        <w:rPr>
          <w:rFonts w:hint="eastAsia" w:ascii="宋体" w:hAnsi="宋体" w:cs="宋体"/>
          <w:bCs/>
          <w:color w:val="auto"/>
          <w:sz w:val="21"/>
          <w:szCs w:val="21"/>
          <w:highlight w:val="none"/>
          <w:u w:val="single"/>
          <w:lang w:eastAsia="zh-CN"/>
        </w:rPr>
        <w:t>。</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default" w:ascii="宋体" w:hAnsi="宋体" w:eastAsia="宋体" w:cs="宋体"/>
          <w:bCs/>
          <w:color w:val="auto"/>
          <w:sz w:val="21"/>
          <w:szCs w:val="21"/>
          <w:highlight w:val="none"/>
          <w:u w:val="single"/>
          <w:lang w:val="en-US" w:eastAsia="zh-CN"/>
        </w:rPr>
      </w:pPr>
      <w:r>
        <w:rPr>
          <w:rFonts w:hint="eastAsia" w:ascii="宋体" w:hAnsi="宋体" w:cs="宋体"/>
          <w:bCs/>
          <w:iCs/>
          <w:color w:val="auto"/>
          <w:sz w:val="21"/>
          <w:szCs w:val="21"/>
          <w:highlight w:val="none"/>
          <w:u w:val="single"/>
        </w:rPr>
        <w:t>业绩证明资料：</w:t>
      </w:r>
      <w:r>
        <w:rPr>
          <w:rFonts w:hint="eastAsia" w:ascii="宋体" w:hAnsi="宋体" w:cs="宋体"/>
          <w:bCs/>
          <w:color w:val="auto"/>
          <w:sz w:val="21"/>
          <w:szCs w:val="21"/>
          <w:highlight w:val="none"/>
          <w:u w:val="single"/>
        </w:rPr>
        <w:t>①施工合同、施工许可证、竣工验收资料（竣工验收证书或竣工验收报告或竣工验收备案表）备注：单位工程质量竣工验收记录不予认可。上述业绩证明资料缺一不可。</w:t>
      </w:r>
      <w:r>
        <w:rPr>
          <w:rFonts w:hint="eastAsia" w:ascii="宋体" w:hAnsi="宋体" w:cs="宋体"/>
          <w:bCs/>
          <w:color w:val="auto"/>
          <w:sz w:val="21"/>
          <w:szCs w:val="21"/>
          <w:highlight w:val="none"/>
          <w:u w:val="single"/>
          <w:lang w:eastAsia="zh-CN"/>
        </w:rPr>
        <w:t>如上述材料中无法体现</w:t>
      </w:r>
      <w:r>
        <w:rPr>
          <w:rFonts w:hint="eastAsia" w:ascii="宋体" w:hAnsi="宋体" w:cs="宋体"/>
          <w:bCs/>
          <w:color w:val="auto"/>
          <w:sz w:val="21"/>
          <w:szCs w:val="21"/>
          <w:highlight w:val="none"/>
          <w:u w:val="single"/>
          <w:lang w:val="en-US" w:eastAsia="zh-CN"/>
        </w:rPr>
        <w:t>PC装配式的，提供行政主管部门或图审机构出具的证明文件或施工单位能够体现装配式的相关竣工图纸，需加盖提供单位工作。</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eastAsia" w:ascii="宋体" w:hAnsi="宋体" w:cs="宋体"/>
          <w:bCs/>
          <w:color w:val="auto"/>
          <w:sz w:val="21"/>
          <w:szCs w:val="21"/>
          <w:highlight w:val="none"/>
          <w:u w:val="single"/>
        </w:rPr>
      </w:pPr>
      <w:r>
        <w:rPr>
          <w:rFonts w:hint="eastAsia" w:ascii="宋体" w:hAnsi="宋体" w:cs="宋体"/>
          <w:bCs/>
          <w:color w:val="auto"/>
          <w:sz w:val="21"/>
          <w:szCs w:val="21"/>
          <w:highlight w:val="none"/>
          <w:u w:val="single"/>
        </w:rPr>
        <w:t>②工程业绩时间以竣工验收资料（竣工验收证书或竣工验收报告或竣工验收备案表）中载明的竣工验收时间为准。</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eastAsia" w:ascii="宋体" w:hAnsi="宋体" w:cs="宋体"/>
          <w:bCs/>
          <w:color w:val="auto"/>
          <w:sz w:val="21"/>
          <w:szCs w:val="21"/>
          <w:highlight w:val="none"/>
          <w:u w:val="single"/>
        </w:rPr>
      </w:pPr>
      <w:r>
        <w:rPr>
          <w:rFonts w:hint="eastAsia" w:ascii="宋体" w:hAnsi="宋体" w:cs="宋体"/>
          <w:bCs/>
          <w:color w:val="auto"/>
          <w:sz w:val="21"/>
          <w:szCs w:val="21"/>
          <w:highlight w:val="none"/>
          <w:u w:val="single"/>
        </w:rPr>
        <w:t>③建筑面积包括地上和地下建筑面积，以施工许可证所注为准。</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eastAsia" w:ascii="宋体" w:hAnsi="宋体" w:cs="宋体"/>
          <w:bCs/>
          <w:color w:val="auto"/>
          <w:sz w:val="21"/>
          <w:szCs w:val="21"/>
          <w:highlight w:val="none"/>
          <w:u w:val="single"/>
        </w:rPr>
      </w:pPr>
      <w:r>
        <w:rPr>
          <w:rFonts w:hint="eastAsia" w:ascii="宋体" w:hAnsi="宋体" w:cs="宋体"/>
          <w:bCs/>
          <w:color w:val="auto"/>
          <w:sz w:val="21"/>
          <w:szCs w:val="21"/>
          <w:highlight w:val="none"/>
          <w:u w:val="single"/>
        </w:rPr>
        <w:t>④民用建筑：根据《民用建筑设计统一标准》GB 50352-2019定义，民用建筑是指供人们居住和进行公共活动的建筑的总称。民用建筑按使用功能可分为居住建筑和公共建筑两大类。</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default" w:ascii="宋体" w:hAnsi="宋体" w:eastAsia="宋体" w:cs="宋体"/>
          <w:bCs/>
          <w:color w:val="auto"/>
          <w:sz w:val="21"/>
          <w:szCs w:val="21"/>
          <w:highlight w:val="none"/>
          <w:u w:val="single"/>
          <w:lang w:val="en-US" w:eastAsia="zh-CN"/>
        </w:rPr>
      </w:pPr>
      <w:r>
        <w:rPr>
          <w:rFonts w:hint="eastAsia" w:ascii="宋体" w:hAnsi="宋体" w:cs="宋体"/>
          <w:bCs/>
          <w:color w:val="auto"/>
          <w:sz w:val="21"/>
          <w:szCs w:val="21"/>
          <w:highlight w:val="none"/>
          <w:u w:val="single"/>
          <w:lang w:eastAsia="zh-CN"/>
        </w:rPr>
        <w:t>⑤“装配式建筑”定义以《装配式建筑评价标准》（具体参照省、直辖市住建部门颁发的标准执行，例如：</w:t>
      </w:r>
      <w:r>
        <w:rPr>
          <w:rFonts w:hint="eastAsia" w:ascii="宋体" w:hAnsi="宋体" w:cs="宋体"/>
          <w:bCs/>
          <w:color w:val="auto"/>
          <w:sz w:val="21"/>
          <w:szCs w:val="21"/>
          <w:highlight w:val="none"/>
          <w:u w:val="single"/>
          <w:lang w:val="en-US" w:eastAsia="zh-CN"/>
        </w:rPr>
        <w:t>DB33/T1165-2019</w:t>
      </w:r>
      <w:r>
        <w:rPr>
          <w:rFonts w:hint="eastAsia" w:ascii="宋体" w:hAnsi="宋体" w:cs="宋体"/>
          <w:bCs/>
          <w:color w:val="auto"/>
          <w:sz w:val="21"/>
          <w:szCs w:val="21"/>
          <w:highlight w:val="none"/>
          <w:u w:val="single"/>
          <w:lang w:eastAsia="zh-CN"/>
        </w:rPr>
        <w:t>）的定义为准，由预制部品部件在工地装配而成的建筑称为装配式建筑。</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eastAsia" w:ascii="宋体" w:hAnsi="宋体" w:eastAsia="宋体" w:cs="宋体"/>
          <w:bCs/>
          <w:color w:val="auto"/>
          <w:sz w:val="21"/>
          <w:szCs w:val="21"/>
          <w:highlight w:val="none"/>
          <w:u w:val="single"/>
          <w:lang w:eastAsia="zh-CN"/>
        </w:rPr>
      </w:pPr>
      <w:r>
        <w:rPr>
          <w:rFonts w:hint="eastAsia" w:ascii="宋体" w:hAnsi="宋体" w:cs="宋体"/>
          <w:bCs/>
          <w:color w:val="auto"/>
          <w:sz w:val="21"/>
          <w:szCs w:val="21"/>
          <w:highlight w:val="none"/>
          <w:u w:val="single"/>
          <w:lang w:eastAsia="zh-CN"/>
        </w:rPr>
        <w:t>⑥如联合体投标的，联合体任意一方满足业绩即可。</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ascii="宋体" w:hAnsi="宋体" w:cs="Arial"/>
          <w:b/>
          <w:color w:val="auto"/>
          <w:sz w:val="21"/>
          <w:szCs w:val="21"/>
          <w:highlight w:val="none"/>
          <w:u w:val="single"/>
        </w:rPr>
      </w:pPr>
      <w:r>
        <w:rPr>
          <w:rFonts w:hint="eastAsia" w:ascii="宋体" w:hAnsi="宋体"/>
          <w:color w:val="auto"/>
          <w:sz w:val="21"/>
          <w:szCs w:val="21"/>
          <w:highlight w:val="none"/>
        </w:rPr>
        <w:t>3.4本次招标☑接受/□不接受联合体投标。联合体投标的应满足下列要求：</w:t>
      </w:r>
      <w:r>
        <w:rPr>
          <w:rFonts w:hint="eastAsia" w:ascii="宋体" w:hAnsi="宋体" w:cs="Arial"/>
          <w:b/>
          <w:color w:val="auto"/>
          <w:sz w:val="21"/>
          <w:szCs w:val="21"/>
          <w:highlight w:val="none"/>
          <w:u w:val="single"/>
        </w:rPr>
        <w:t>本次招标接受联合体投标。联合体投标应满足下列要求：</w:t>
      </w:r>
      <w:r>
        <w:rPr>
          <w:rFonts w:hint="eastAsia" w:ascii="宋体" w:hAnsi="宋体" w:cs="宋体"/>
          <w:b/>
          <w:color w:val="auto"/>
          <w:sz w:val="21"/>
          <w:szCs w:val="21"/>
          <w:highlight w:val="none"/>
          <w:u w:val="single"/>
        </w:rPr>
        <w:t>①联合体各成员须具备建筑工程施工总承包</w:t>
      </w:r>
      <w:r>
        <w:rPr>
          <w:rFonts w:hint="eastAsia" w:ascii="宋体" w:hAnsi="宋体" w:cs="宋体"/>
          <w:b/>
          <w:color w:val="auto"/>
          <w:sz w:val="21"/>
          <w:szCs w:val="21"/>
          <w:highlight w:val="none"/>
          <w:u w:val="single"/>
          <w:lang w:val="en-US" w:eastAsia="zh-CN"/>
        </w:rPr>
        <w:t>二</w:t>
      </w:r>
      <w:r>
        <w:rPr>
          <w:rFonts w:hint="eastAsia" w:ascii="宋体" w:hAnsi="宋体" w:cs="宋体"/>
          <w:b/>
          <w:color w:val="auto"/>
          <w:sz w:val="21"/>
          <w:szCs w:val="21"/>
          <w:highlight w:val="none"/>
          <w:u w:val="single"/>
        </w:rPr>
        <w:t>级及以上资质；②联合体各方应按招标文件提供的格式签订联合体协议书，联合体牵头人负责项目实施全过程的统筹策划、协调、建设管理和工程施工等工作；③联合体各方不得再以自己名义单独或加入其他联合体对本项目进行投标；④</w:t>
      </w:r>
      <w:r>
        <w:rPr>
          <w:rFonts w:hint="eastAsia"/>
          <w:b/>
          <w:color w:val="auto"/>
          <w:sz w:val="21"/>
          <w:szCs w:val="21"/>
          <w:highlight w:val="none"/>
          <w:u w:val="single"/>
        </w:rPr>
        <w:t>联合体投标的，项目负责人必须为联合体牵头方在职职工</w:t>
      </w:r>
      <w:r>
        <w:rPr>
          <w:rFonts w:hint="eastAsia" w:ascii="宋体" w:hAnsi="宋体" w:cs="宋体"/>
          <w:b/>
          <w:color w:val="auto"/>
          <w:sz w:val="21"/>
          <w:szCs w:val="21"/>
          <w:highlight w:val="none"/>
          <w:u w:val="single"/>
        </w:rPr>
        <w:t>；⑤联合体组成单位不得超过两家</w:t>
      </w:r>
      <w:r>
        <w:rPr>
          <w:rFonts w:hint="eastAsia" w:ascii="宋体" w:hAnsi="宋体" w:cs="Arial"/>
          <w:b/>
          <w:bCs/>
          <w:color w:val="auto"/>
          <w:sz w:val="21"/>
          <w:szCs w:val="21"/>
          <w:highlight w:val="none"/>
          <w:u w:val="single"/>
        </w:rPr>
        <w:t>。</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2" w:firstLineChars="200"/>
        <w:jc w:val="both"/>
        <w:rPr>
          <w:rFonts w:ascii="宋体" w:hAnsi="宋体" w:cs="Arial"/>
          <w:b/>
          <w:color w:val="auto"/>
          <w:sz w:val="21"/>
          <w:szCs w:val="21"/>
          <w:highlight w:val="none"/>
          <w:u w:val="single"/>
        </w:rPr>
      </w:pPr>
      <w:r>
        <w:rPr>
          <w:rFonts w:hint="eastAsia" w:ascii="宋体" w:hAnsi="宋体" w:cs="Arial"/>
          <w:b/>
          <w:color w:val="auto"/>
          <w:sz w:val="21"/>
          <w:szCs w:val="21"/>
          <w:highlight w:val="none"/>
          <w:u w:val="single"/>
        </w:rPr>
        <w:t>3.5□其他要求：  /  。</w:t>
      </w:r>
    </w:p>
    <w:p>
      <w:pPr>
        <w:pStyle w:val="25"/>
        <w:keepNext w:val="0"/>
        <w:keepLines w:val="0"/>
        <w:pageBreakBefore w:val="0"/>
        <w:wordWrap/>
        <w:overflowPunct/>
        <w:topLinePunct w:val="0"/>
        <w:autoSpaceDE w:val="0"/>
        <w:autoSpaceDN w:val="0"/>
        <w:bidi w:val="0"/>
        <w:adjustRightInd w:val="0"/>
        <w:snapToGrid w:val="0"/>
        <w:spacing w:line="420" w:lineRule="exact"/>
        <w:ind w:firstLine="359" w:firstLineChars="171"/>
        <w:rPr>
          <w:rFonts w:hAnsi="宋体"/>
          <w:color w:val="auto"/>
          <w:sz w:val="21"/>
          <w:szCs w:val="21"/>
          <w:highlight w:val="none"/>
        </w:rPr>
      </w:pPr>
      <w:r>
        <w:rPr>
          <w:rFonts w:hint="eastAsia" w:hAnsi="宋体"/>
          <w:color w:val="auto"/>
          <w:sz w:val="21"/>
          <w:szCs w:val="21"/>
          <w:highlight w:val="none"/>
        </w:rPr>
        <w:t>（二）拟派项目负责人：</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w:t>
      </w:r>
      <w:bookmarkStart w:id="32" w:name="_Hlk24015190"/>
      <w:bookmarkEnd w:id="32"/>
      <w:r>
        <w:rPr>
          <w:rFonts w:hint="eastAsia" w:ascii="宋体" w:hAnsi="宋体"/>
          <w:color w:val="auto"/>
          <w:sz w:val="21"/>
          <w:szCs w:val="21"/>
          <w:highlight w:val="none"/>
        </w:rPr>
        <w:t>6拟派项目负责人具有注册在投标人单位的</w:t>
      </w:r>
      <w:r>
        <w:rPr>
          <w:rFonts w:hint="eastAsia" w:ascii="宋体" w:hAnsi="宋体"/>
          <w:b/>
          <w:bCs/>
          <w:color w:val="auto"/>
          <w:spacing w:val="-1"/>
          <w:sz w:val="21"/>
          <w:szCs w:val="21"/>
          <w:highlight w:val="none"/>
          <w:u w:val="single"/>
        </w:rPr>
        <w:t>建筑工程专业一级注册</w:t>
      </w:r>
      <w:r>
        <w:rPr>
          <w:rFonts w:hint="eastAsia" w:ascii="宋体" w:hAnsi="宋体"/>
          <w:color w:val="auto"/>
          <w:sz w:val="21"/>
          <w:szCs w:val="21"/>
          <w:highlight w:val="none"/>
        </w:rPr>
        <w:t>建造师执业资格，同时具有有效的</w:t>
      </w:r>
      <w:r>
        <w:rPr>
          <w:rFonts w:hint="eastAsia" w:ascii="宋体" w:hAnsi="宋体"/>
          <w:bCs/>
          <w:color w:val="auto"/>
          <w:sz w:val="21"/>
          <w:szCs w:val="21"/>
          <w:highlight w:val="none"/>
        </w:rPr>
        <w:t>专职</w:t>
      </w:r>
      <w:r>
        <w:rPr>
          <w:rFonts w:hint="eastAsia" w:ascii="宋体" w:hAnsi="宋体"/>
          <w:color w:val="auto"/>
          <w:sz w:val="21"/>
          <w:szCs w:val="21"/>
          <w:highlight w:val="none"/>
        </w:rPr>
        <w:t>安全生产管理人员B类证书。如在投标截止日存在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rFonts w:ascii="宋体" w:hAnsi="宋体"/>
          <w:b/>
          <w:bCs/>
          <w:color w:val="auto"/>
          <w:spacing w:val="-1"/>
          <w:sz w:val="21"/>
          <w:szCs w:val="21"/>
          <w:highlight w:val="none"/>
          <w:u w:val="single"/>
        </w:rPr>
      </w:pPr>
      <w:r>
        <w:rPr>
          <w:rFonts w:hint="eastAsia" w:ascii="宋体" w:hAnsi="宋体"/>
          <w:color w:val="auto"/>
          <w:sz w:val="21"/>
          <w:szCs w:val="21"/>
          <w:highlight w:val="none"/>
        </w:rPr>
        <w:t>3.7☑</w:t>
      </w:r>
      <w:r>
        <w:rPr>
          <w:rFonts w:hint="eastAsia" w:hAnsi="宋体"/>
          <w:color w:val="auto"/>
          <w:sz w:val="21"/>
          <w:szCs w:val="21"/>
          <w:highlight w:val="none"/>
        </w:rPr>
        <w:t xml:space="preserve"> </w:t>
      </w:r>
      <w:r>
        <w:rPr>
          <w:rFonts w:hint="eastAsia" w:hAnsi="宋体"/>
          <w:color w:val="auto"/>
          <w:sz w:val="21"/>
          <w:szCs w:val="21"/>
          <w:highlight w:val="none"/>
          <w:u w:val="single"/>
        </w:rPr>
        <w:t xml:space="preserve"> </w:t>
      </w:r>
      <w:r>
        <w:rPr>
          <w:rFonts w:hint="eastAsia" w:ascii="宋体" w:hAnsi="宋体" w:cs="宋体"/>
          <w:b/>
          <w:bCs/>
          <w:color w:val="auto"/>
          <w:sz w:val="21"/>
          <w:szCs w:val="21"/>
          <w:highlight w:val="none"/>
          <w:u w:val="single"/>
        </w:rPr>
        <w:t>拟委派项目负责人须为投标企业在职职工（在职职工不包括离、退休返聘人员），须提供项目负责人</w:t>
      </w:r>
      <w:r>
        <w:rPr>
          <w:rFonts w:hint="eastAsia" w:ascii="宋体" w:hAnsi="宋体" w:cs="宋体"/>
          <w:b/>
          <w:bCs/>
          <w:color w:val="auto"/>
          <w:sz w:val="21"/>
          <w:szCs w:val="21"/>
          <w:highlight w:val="none"/>
          <w:u w:val="single"/>
          <w:lang w:eastAsia="zh-CN"/>
        </w:rPr>
        <w:t>2024年1月至2024年3月</w:t>
      </w:r>
      <w:r>
        <w:rPr>
          <w:rFonts w:hint="eastAsia" w:ascii="宋体" w:hAnsi="宋体" w:cs="宋体"/>
          <w:b/>
          <w:bCs/>
          <w:color w:val="auto"/>
          <w:sz w:val="21"/>
          <w:szCs w:val="21"/>
          <w:highlight w:val="none"/>
          <w:u w:val="single"/>
        </w:rPr>
        <w:t>的投标人注册地所属社保机构养老保险交纳证明（缴费单位和投标单位名称必须一致，并加盖社保缴费证明专用章或电子专用章，非独立法人的分公司社保证明有效），若项目负责人为事业编制的，须提供</w:t>
      </w:r>
      <w:r>
        <w:rPr>
          <w:rFonts w:hint="eastAsia" w:ascii="宋体" w:hAnsi="宋体" w:cs="宋体"/>
          <w:b/>
          <w:bCs/>
          <w:color w:val="auto"/>
          <w:sz w:val="21"/>
          <w:szCs w:val="21"/>
          <w:highlight w:val="none"/>
          <w:u w:val="single"/>
          <w:lang w:eastAsia="zh-CN"/>
        </w:rPr>
        <w:t>2024年1月至2024年3月</w:t>
      </w:r>
      <w:r>
        <w:rPr>
          <w:rFonts w:hint="eastAsia" w:ascii="宋体" w:hAnsi="宋体" w:cs="宋体"/>
          <w:b/>
          <w:bCs/>
          <w:color w:val="auto"/>
          <w:sz w:val="21"/>
          <w:szCs w:val="21"/>
          <w:highlight w:val="none"/>
          <w:u w:val="single"/>
        </w:rPr>
        <w:t>的由人事代理中心出具的社保证明（需加盖人事代理中心证明专用章）</w:t>
      </w:r>
      <w:r>
        <w:rPr>
          <w:rFonts w:hint="eastAsia" w:ascii="宋体" w:hAnsi="宋体"/>
          <w:b/>
          <w:bCs/>
          <w:color w:val="auto"/>
          <w:spacing w:val="-1"/>
          <w:sz w:val="21"/>
          <w:szCs w:val="21"/>
          <w:highlight w:val="none"/>
          <w:u w:val="single"/>
        </w:rPr>
        <w:t>。</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18" w:firstLineChars="200"/>
        <w:jc w:val="both"/>
        <w:rPr>
          <w:rFonts w:ascii="宋体" w:hAnsi="宋体" w:cs="Arial"/>
          <w:b/>
          <w:bCs/>
          <w:color w:val="auto"/>
          <w:sz w:val="21"/>
          <w:szCs w:val="21"/>
          <w:highlight w:val="none"/>
          <w:u w:val="single"/>
        </w:rPr>
      </w:pPr>
      <w:r>
        <w:rPr>
          <w:rFonts w:hint="eastAsia" w:ascii="宋体" w:hAnsi="宋体"/>
          <w:b/>
          <w:bCs/>
          <w:color w:val="auto"/>
          <w:spacing w:val="-1"/>
          <w:sz w:val="21"/>
          <w:szCs w:val="21"/>
          <w:highlight w:val="none"/>
          <w:u w:val="single"/>
        </w:rPr>
        <w:t>备注：</w:t>
      </w:r>
      <w:r>
        <w:rPr>
          <w:rFonts w:hint="eastAsia" w:ascii="宋体" w:hAnsi="宋体" w:cs="宋体"/>
          <w:b/>
          <w:bCs/>
          <w:color w:val="auto"/>
          <w:sz w:val="21"/>
          <w:szCs w:val="21"/>
          <w:highlight w:val="none"/>
          <w:u w:val="single"/>
        </w:rPr>
        <w:t>拟派项目负责人的注册建造师为电子证书的，应符合《住房和城乡建设部办公厅关于全面实行一级建造师电子注册证书的通知》（建办市【2021】040号）文，须在个人签名处手写本人签名，未手写签名或与签名图像笔迹不一致的，该电子证书无效，资格审查不予通过）</w:t>
      </w:r>
      <w:r>
        <w:rPr>
          <w:rFonts w:hint="eastAsia" w:ascii="宋体" w:hAnsi="宋体"/>
          <w:b/>
          <w:bCs/>
          <w:color w:val="auto"/>
          <w:spacing w:val="-1"/>
          <w:sz w:val="21"/>
          <w:szCs w:val="21"/>
          <w:highlight w:val="none"/>
          <w:u w:val="single"/>
        </w:rPr>
        <w:t>。</w:t>
      </w:r>
    </w:p>
    <w:p>
      <w:pPr>
        <w:pStyle w:val="25"/>
        <w:keepNext w:val="0"/>
        <w:keepLines w:val="0"/>
        <w:pageBreakBefore w:val="0"/>
        <w:wordWrap/>
        <w:overflowPunct/>
        <w:topLinePunct w:val="0"/>
        <w:autoSpaceDE w:val="0"/>
        <w:autoSpaceDN w:val="0"/>
        <w:bidi w:val="0"/>
        <w:adjustRightInd w:val="0"/>
        <w:snapToGrid w:val="0"/>
        <w:spacing w:line="420" w:lineRule="exact"/>
        <w:ind w:firstLine="560" w:firstLineChars="0"/>
        <w:rPr>
          <w:rFonts w:hAnsi="宋体"/>
          <w:color w:val="auto"/>
          <w:sz w:val="21"/>
          <w:szCs w:val="21"/>
          <w:highlight w:val="none"/>
          <w:u w:val="single"/>
        </w:rPr>
      </w:pPr>
      <w:r>
        <w:rPr>
          <w:rFonts w:hint="eastAsia" w:hAnsi="宋体"/>
          <w:color w:val="auto"/>
          <w:sz w:val="21"/>
          <w:szCs w:val="21"/>
          <w:highlight w:val="none"/>
        </w:rPr>
        <w:t>（三）其他：</w:t>
      </w:r>
    </w:p>
    <w:p>
      <w:pPr>
        <w:pStyle w:val="25"/>
        <w:keepNext w:val="0"/>
        <w:keepLines w:val="0"/>
        <w:pageBreakBefore w:val="0"/>
        <w:wordWrap/>
        <w:overflowPunct/>
        <w:topLinePunct w:val="0"/>
        <w:autoSpaceDE w:val="0"/>
        <w:autoSpaceDN w:val="0"/>
        <w:bidi w:val="0"/>
        <w:adjustRightInd w:val="0"/>
        <w:snapToGrid w:val="0"/>
        <w:spacing w:line="420" w:lineRule="exact"/>
        <w:ind w:firstLine="480"/>
        <w:rPr>
          <w:rFonts w:hAnsi="宋体"/>
          <w:color w:val="auto"/>
          <w:sz w:val="21"/>
          <w:szCs w:val="21"/>
          <w:highlight w:val="none"/>
        </w:rPr>
      </w:pPr>
      <w:r>
        <w:rPr>
          <w:rFonts w:hint="eastAsia" w:hAnsi="宋体"/>
          <w:color w:val="auto"/>
          <w:sz w:val="21"/>
          <w:szCs w:val="21"/>
          <w:highlight w:val="none"/>
        </w:rPr>
        <w:t>3.8☑拟派施工现场专职安全生产管理人员，具有专职安全生产管理人员C类证书,人数符合住房和城乡建设部《建筑施工企业安全生产管理机构设置及专职安全生产管理人员配备办法》（建质﹝2008﹞91号）的规定,专职安全生产管理人员不少于4人。</w:t>
      </w:r>
    </w:p>
    <w:p>
      <w:pPr>
        <w:pStyle w:val="25"/>
        <w:keepNext w:val="0"/>
        <w:keepLines w:val="0"/>
        <w:pageBreakBefore w:val="0"/>
        <w:wordWrap/>
        <w:overflowPunct/>
        <w:topLinePunct w:val="0"/>
        <w:autoSpaceDE w:val="0"/>
        <w:autoSpaceDN w:val="0"/>
        <w:bidi w:val="0"/>
        <w:adjustRightInd w:val="0"/>
        <w:snapToGrid w:val="0"/>
        <w:spacing w:line="420" w:lineRule="exact"/>
        <w:ind w:firstLine="480"/>
        <w:rPr>
          <w:rFonts w:hAnsi="宋体"/>
          <w:color w:val="auto"/>
          <w:sz w:val="21"/>
          <w:szCs w:val="21"/>
          <w:highlight w:val="none"/>
        </w:rPr>
      </w:pPr>
      <w:r>
        <w:rPr>
          <w:rFonts w:hint="eastAsia" w:hAnsi="宋体"/>
          <w:color w:val="auto"/>
          <w:sz w:val="21"/>
          <w:szCs w:val="21"/>
          <w:highlight w:val="none"/>
        </w:rPr>
        <w:t>3.9投标人及其拟派项目负责人未被列入全国建筑市场公共监管平台黑名单和浙江省建筑市场公共监管平台失信名单；（如联合体投标的，联合体双方均须符合上述条件）。</w:t>
      </w:r>
    </w:p>
    <w:p>
      <w:pPr>
        <w:pStyle w:val="25"/>
        <w:keepNext w:val="0"/>
        <w:keepLines w:val="0"/>
        <w:pageBreakBefore w:val="0"/>
        <w:wordWrap/>
        <w:overflowPunct/>
        <w:topLinePunct w:val="0"/>
        <w:autoSpaceDE w:val="0"/>
        <w:autoSpaceDN w:val="0"/>
        <w:bidi w:val="0"/>
        <w:adjustRightInd w:val="0"/>
        <w:snapToGrid w:val="0"/>
        <w:spacing w:line="420" w:lineRule="exact"/>
        <w:ind w:firstLine="480"/>
        <w:rPr>
          <w:rFonts w:hAnsi="宋体"/>
          <w:color w:val="auto"/>
          <w:sz w:val="21"/>
          <w:szCs w:val="21"/>
          <w:highlight w:val="none"/>
        </w:rPr>
      </w:pPr>
      <w:r>
        <w:rPr>
          <w:rFonts w:hint="eastAsia" w:hAnsi="宋体"/>
          <w:color w:val="auto"/>
          <w:sz w:val="21"/>
          <w:szCs w:val="21"/>
          <w:highlight w:val="none"/>
        </w:rPr>
        <w:t>3.10☑投标人及其拟派项目负责人未被列入招标投标失信黑名单（以浙江省发展和改革委员会公布的披露期内的失信黑名单为准）；</w:t>
      </w:r>
    </w:p>
    <w:p>
      <w:pPr>
        <w:pStyle w:val="25"/>
        <w:keepNext w:val="0"/>
        <w:keepLines w:val="0"/>
        <w:pageBreakBefore w:val="0"/>
        <w:wordWrap/>
        <w:overflowPunct/>
        <w:topLinePunct w:val="0"/>
        <w:autoSpaceDE w:val="0"/>
        <w:autoSpaceDN w:val="0"/>
        <w:bidi w:val="0"/>
        <w:adjustRightInd w:val="0"/>
        <w:snapToGrid w:val="0"/>
        <w:spacing w:line="420" w:lineRule="exact"/>
        <w:ind w:firstLine="480"/>
        <w:rPr>
          <w:rFonts w:hAnsi="宋体"/>
          <w:color w:val="auto"/>
          <w:sz w:val="21"/>
          <w:szCs w:val="21"/>
          <w:highlight w:val="none"/>
        </w:rPr>
      </w:pPr>
      <w:r>
        <w:rPr>
          <w:rFonts w:hint="eastAsia" w:hAnsi="宋体"/>
          <w:color w:val="auto"/>
          <w:sz w:val="21"/>
          <w:szCs w:val="21"/>
          <w:highlight w:val="none"/>
        </w:rPr>
        <w:t>3.11投标人及其拟派项目负责人自</w:t>
      </w:r>
      <w:r>
        <w:rPr>
          <w:rFonts w:hint="eastAsia" w:hAnsi="宋体"/>
          <w:b/>
          <w:bCs/>
          <w:color w:val="auto"/>
          <w:sz w:val="21"/>
          <w:szCs w:val="21"/>
          <w:highlight w:val="none"/>
          <w:u w:val="single"/>
        </w:rPr>
        <w:t>202</w:t>
      </w:r>
      <w:r>
        <w:rPr>
          <w:rFonts w:hint="eastAsia" w:hAnsi="宋体"/>
          <w:b/>
          <w:bCs/>
          <w:color w:val="auto"/>
          <w:sz w:val="21"/>
          <w:szCs w:val="21"/>
          <w:highlight w:val="none"/>
          <w:u w:val="single"/>
          <w:lang w:val="en-US" w:eastAsia="zh-CN"/>
        </w:rPr>
        <w:t>1</w:t>
      </w:r>
      <w:r>
        <w:rPr>
          <w:rFonts w:hint="eastAsia" w:hAnsi="宋体"/>
          <w:color w:val="auto"/>
          <w:sz w:val="21"/>
          <w:szCs w:val="21"/>
          <w:highlight w:val="none"/>
        </w:rPr>
        <w:t>年</w:t>
      </w:r>
      <w:r>
        <w:rPr>
          <w:rFonts w:hint="eastAsia" w:hAnsi="宋体"/>
          <w:b/>
          <w:bCs/>
          <w:color w:val="auto"/>
          <w:sz w:val="21"/>
          <w:szCs w:val="21"/>
          <w:highlight w:val="none"/>
          <w:u w:val="single"/>
          <w:lang w:val="en-US" w:eastAsia="zh-CN"/>
        </w:rPr>
        <w:t>4</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b/>
          <w:bCs/>
          <w:color w:val="auto"/>
          <w:sz w:val="21"/>
          <w:szCs w:val="21"/>
          <w:highlight w:val="none"/>
          <w:u w:val="single"/>
        </w:rPr>
        <w:t>1</w:t>
      </w:r>
      <w:r>
        <w:rPr>
          <w:rFonts w:hint="eastAsia" w:hAnsi="宋体"/>
          <w:color w:val="auto"/>
          <w:sz w:val="21"/>
          <w:szCs w:val="21"/>
          <w:highlight w:val="none"/>
          <w:u w:val="single"/>
        </w:rPr>
        <w:t xml:space="preserve"> </w:t>
      </w:r>
      <w:r>
        <w:rPr>
          <w:rFonts w:hint="eastAsia" w:hAnsi="宋体"/>
          <w:color w:val="auto"/>
          <w:sz w:val="21"/>
          <w:szCs w:val="21"/>
          <w:highlight w:val="none"/>
        </w:rPr>
        <w:t>日起至投标截止日止无行贿犯罪记录，并未被列入失信被执行人名单；（如联合体投标的，联合体双方均须符合上述条件）。</w:t>
      </w:r>
    </w:p>
    <w:p>
      <w:pPr>
        <w:keepNext w:val="0"/>
        <w:keepLines w:val="0"/>
        <w:pageBreakBefore w:val="0"/>
        <w:wordWrap/>
        <w:overflowPunct/>
        <w:topLinePunct w:val="0"/>
        <w:autoSpaceDE w:val="0"/>
        <w:autoSpaceDN w:val="0"/>
        <w:bidi w:val="0"/>
        <w:adjustRightInd w:val="0"/>
        <w:snapToGrid w:val="0"/>
        <w:spacing w:line="420" w:lineRule="exact"/>
        <w:rPr>
          <w:rFonts w:ascii="宋体" w:hAnsi="宋体"/>
          <w:b/>
          <w:color w:val="auto"/>
          <w:sz w:val="21"/>
          <w:szCs w:val="21"/>
          <w:highlight w:val="none"/>
        </w:rPr>
      </w:pPr>
      <w:bookmarkStart w:id="33" w:name="_Hlk24015219"/>
      <w:bookmarkEnd w:id="33"/>
      <w:bookmarkStart w:id="34" w:name="_Toc22828054"/>
      <w:bookmarkEnd w:id="34"/>
      <w:bookmarkStart w:id="35" w:name="_Toc26001999"/>
      <w:bookmarkEnd w:id="35"/>
      <w:bookmarkStart w:id="36" w:name="_Toc22827971"/>
      <w:bookmarkEnd w:id="36"/>
      <w:bookmarkStart w:id="37" w:name="_Toc24050272"/>
      <w:bookmarkEnd w:id="37"/>
      <w:bookmarkStart w:id="38" w:name="_Toc45697223"/>
      <w:bookmarkEnd w:id="38"/>
      <w:bookmarkStart w:id="39" w:name="_Toc26002052"/>
      <w:bookmarkEnd w:id="39"/>
      <w:bookmarkStart w:id="40" w:name="_Toc30484"/>
      <w:r>
        <w:rPr>
          <w:rFonts w:hint="eastAsia" w:ascii="宋体" w:hAnsi="宋体"/>
          <w:b/>
          <w:color w:val="auto"/>
          <w:sz w:val="21"/>
          <w:szCs w:val="21"/>
          <w:highlight w:val="none"/>
        </w:rPr>
        <w:t>4.招投标方式</w:t>
      </w:r>
      <w:bookmarkEnd w:id="40"/>
    </w:p>
    <w:p>
      <w:pPr>
        <w:keepNext w:val="0"/>
        <w:keepLines w:val="0"/>
        <w:pageBreakBefore w:val="0"/>
        <w:wordWrap/>
        <w:overflowPunct/>
        <w:topLinePunct w:val="0"/>
        <w:autoSpaceDE w:val="0"/>
        <w:autoSpaceDN w:val="0"/>
        <w:bidi w:val="0"/>
        <w:adjustRightInd w:val="0"/>
        <w:snapToGrid w:val="0"/>
        <w:spacing w:line="420" w:lineRule="exact"/>
        <w:ind w:firstLine="420" w:firstLineChars="200"/>
        <w:rPr>
          <w:rFonts w:ascii="宋体" w:hAnsi="宋体"/>
          <w:color w:val="auto"/>
          <w:sz w:val="21"/>
          <w:szCs w:val="21"/>
          <w:highlight w:val="none"/>
        </w:rPr>
      </w:pPr>
      <w:bookmarkStart w:id="41" w:name="_Toc26002053"/>
      <w:bookmarkEnd w:id="41"/>
      <w:bookmarkStart w:id="42" w:name="_Toc26002000"/>
      <w:r>
        <w:rPr>
          <w:rFonts w:hint="eastAsia" w:ascii="宋体" w:hAnsi="宋体"/>
          <w:color w:val="auto"/>
          <w:sz w:val="21"/>
          <w:szCs w:val="21"/>
          <w:highlight w:val="none"/>
        </w:rPr>
        <w:t>4.1公开招标</w:t>
      </w:r>
      <w:bookmarkEnd w:id="42"/>
      <w:bookmarkStart w:id="43" w:name="bookmark5"/>
      <w:bookmarkEnd w:id="43"/>
      <w:r>
        <w:rPr>
          <w:rFonts w:hint="eastAsia" w:ascii="宋体" w:hAnsi="宋体"/>
          <w:color w:val="auto"/>
          <w:sz w:val="21"/>
          <w:szCs w:val="21"/>
          <w:highlight w:val="none"/>
        </w:rPr>
        <w:t>。</w:t>
      </w:r>
    </w:p>
    <w:p>
      <w:pPr>
        <w:keepNext w:val="0"/>
        <w:keepLines w:val="0"/>
        <w:pageBreakBefore w:val="0"/>
        <w:wordWrap/>
        <w:overflowPunct/>
        <w:topLinePunct w:val="0"/>
        <w:autoSpaceDE w:val="0"/>
        <w:autoSpaceDN w:val="0"/>
        <w:bidi w:val="0"/>
        <w:adjustRightInd w:val="0"/>
        <w:snapToGrid w:val="0"/>
        <w:spacing w:line="420" w:lineRule="exact"/>
        <w:rPr>
          <w:rFonts w:ascii="宋体" w:hAnsi="宋体"/>
          <w:b/>
          <w:color w:val="auto"/>
          <w:sz w:val="21"/>
          <w:szCs w:val="21"/>
          <w:highlight w:val="none"/>
        </w:rPr>
      </w:pPr>
      <w:bookmarkStart w:id="44" w:name="_Toc22828055"/>
      <w:bookmarkEnd w:id="44"/>
      <w:bookmarkStart w:id="45" w:name="_Toc22827972"/>
      <w:bookmarkEnd w:id="45"/>
      <w:bookmarkStart w:id="46" w:name="_Toc24050273"/>
      <w:bookmarkEnd w:id="46"/>
      <w:bookmarkStart w:id="47" w:name="_Toc45697224"/>
      <w:bookmarkEnd w:id="47"/>
      <w:bookmarkStart w:id="48" w:name="_Toc26002001"/>
      <w:bookmarkEnd w:id="48"/>
      <w:bookmarkStart w:id="49" w:name="_Toc26002054"/>
      <w:bookmarkEnd w:id="49"/>
      <w:bookmarkStart w:id="50" w:name="bookmark6"/>
      <w:bookmarkEnd w:id="50"/>
      <w:bookmarkStart w:id="51" w:name="_Toc12635"/>
      <w:r>
        <w:rPr>
          <w:rFonts w:hint="eastAsia" w:ascii="宋体" w:hAnsi="宋体"/>
          <w:b/>
          <w:color w:val="auto"/>
          <w:sz w:val="21"/>
          <w:szCs w:val="21"/>
          <w:highlight w:val="none"/>
        </w:rPr>
        <w:t>5.招标文件的获取</w:t>
      </w:r>
      <w:bookmarkEnd w:id="51"/>
    </w:p>
    <w:p>
      <w:pPr>
        <w:keepNext w:val="0"/>
        <w:keepLines w:val="0"/>
        <w:pageBreakBefore w:val="0"/>
        <w:wordWrap/>
        <w:overflowPunct/>
        <w:topLinePunct w:val="0"/>
        <w:autoSpaceDE w:val="0"/>
        <w:autoSpaceDN w:val="0"/>
        <w:bidi w:val="0"/>
        <w:adjustRightInd w:val="0"/>
        <w:snapToGrid w:val="0"/>
        <w:spacing w:line="42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5.1本项目招标文件（含图纸）和补充（答疑、澄清）、修改文件以网上下载方式发放越城区公共资源交易平台（http://ztb.sxyc.gov.cn/TPBidder），潜在投标人自行注册登记。</w:t>
      </w:r>
    </w:p>
    <w:p>
      <w:pPr>
        <w:keepNext w:val="0"/>
        <w:keepLines w:val="0"/>
        <w:pageBreakBefore w:val="0"/>
        <w:wordWrap/>
        <w:overflowPunct/>
        <w:topLinePunct w:val="0"/>
        <w:autoSpaceDE w:val="0"/>
        <w:autoSpaceDN w:val="0"/>
        <w:bidi w:val="0"/>
        <w:adjustRightInd w:val="0"/>
        <w:snapToGrid w:val="0"/>
        <w:spacing w:line="42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5.2招标文件下载网址：</w:t>
      </w:r>
      <w:bookmarkStart w:id="52" w:name="_Hlk24015357"/>
      <w:r>
        <w:rPr>
          <w:rFonts w:hint="eastAsia" w:ascii="宋体" w:hAnsi="宋体"/>
          <w:color w:val="auto"/>
          <w:sz w:val="21"/>
          <w:szCs w:val="21"/>
          <w:highlight w:val="none"/>
        </w:rPr>
        <w:t>潜在投标人登录</w:t>
      </w:r>
      <w:bookmarkEnd w:id="52"/>
      <w:r>
        <w:rPr>
          <w:rFonts w:hint="eastAsia" w:ascii="宋体" w:hAnsi="宋体"/>
          <w:color w:val="auto"/>
          <w:sz w:val="21"/>
          <w:szCs w:val="21"/>
          <w:highlight w:val="none"/>
          <w:u w:val="single"/>
        </w:rPr>
        <w:t>越城区公共资源交易平台（http://ztb.sxyc.gov.cn/TPBidder）</w:t>
      </w:r>
      <w:r>
        <w:rPr>
          <w:rFonts w:hint="eastAsia" w:ascii="宋体" w:hAnsi="宋体"/>
          <w:color w:val="auto"/>
          <w:sz w:val="21"/>
          <w:szCs w:val="21"/>
          <w:highlight w:val="none"/>
        </w:rPr>
        <w:t>自行下载招标文件。</w:t>
      </w:r>
      <w:r>
        <w:rPr>
          <w:rFonts w:hint="eastAsia" w:ascii="宋体" w:hAnsi="宋体" w:cs="宋体"/>
          <w:b/>
          <w:iCs/>
          <w:color w:val="auto"/>
          <w:sz w:val="21"/>
          <w:szCs w:val="21"/>
          <w:highlight w:val="none"/>
          <w:u w:val="single"/>
        </w:rPr>
        <w:t>若为联合体投标的，仅要求联合体牵头人获取招标文件。</w:t>
      </w:r>
    </w:p>
    <w:p>
      <w:pPr>
        <w:keepNext w:val="0"/>
        <w:keepLines w:val="0"/>
        <w:pageBreakBefore w:val="0"/>
        <w:wordWrap/>
        <w:overflowPunct/>
        <w:topLinePunct w:val="0"/>
        <w:autoSpaceDE w:val="0"/>
        <w:autoSpaceDN w:val="0"/>
        <w:bidi w:val="0"/>
        <w:adjustRightInd w:val="0"/>
        <w:snapToGrid w:val="0"/>
        <w:spacing w:line="42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5.3招标文件网上下载时间：</w:t>
      </w:r>
      <w:bookmarkStart w:id="53" w:name="EB711a71a1d4074416afbde3071813b61c"/>
      <w:r>
        <w:rPr>
          <w:rFonts w:hint="eastAsia" w:ascii="宋体" w:hAnsi="宋体"/>
          <w:color w:val="auto"/>
          <w:sz w:val="21"/>
          <w:szCs w:val="21"/>
          <w:highlight w:val="none"/>
          <w:u w:val="single"/>
        </w:rPr>
        <w:t>（</w:t>
      </w:r>
      <w:bookmarkEnd w:id="53"/>
      <w:r>
        <w:rPr>
          <w:rFonts w:hint="eastAsia" w:ascii="宋体" w:hAnsi="宋体"/>
          <w:color w:val="auto"/>
          <w:sz w:val="21"/>
          <w:szCs w:val="21"/>
          <w:highlight w:val="none"/>
          <w:u w:val="single"/>
        </w:rPr>
        <w:t>公告发布之日起至投标文件递交截止时间）</w:t>
      </w:r>
      <w:r>
        <w:rPr>
          <w:rFonts w:hint="eastAsia" w:ascii="宋体" w:hAnsi="宋体"/>
          <w:color w:val="auto"/>
          <w:sz w:val="21"/>
          <w:szCs w:val="21"/>
          <w:highlight w:val="none"/>
        </w:rPr>
        <w:t>。</w:t>
      </w:r>
    </w:p>
    <w:p>
      <w:pPr>
        <w:keepNext w:val="0"/>
        <w:keepLines w:val="0"/>
        <w:pageBreakBefore w:val="0"/>
        <w:wordWrap/>
        <w:overflowPunct/>
        <w:topLinePunct w:val="0"/>
        <w:autoSpaceDE w:val="0"/>
        <w:autoSpaceDN w:val="0"/>
        <w:bidi w:val="0"/>
        <w:adjustRightInd w:val="0"/>
        <w:snapToGrid w:val="0"/>
        <w:spacing w:line="420" w:lineRule="exact"/>
        <w:rPr>
          <w:rFonts w:ascii="宋体" w:hAnsi="宋体"/>
          <w:b/>
          <w:color w:val="auto"/>
          <w:sz w:val="21"/>
          <w:szCs w:val="21"/>
          <w:highlight w:val="none"/>
        </w:rPr>
      </w:pPr>
      <w:bookmarkStart w:id="54" w:name="_Toc26002055"/>
      <w:bookmarkEnd w:id="54"/>
      <w:bookmarkStart w:id="55" w:name="_Toc22827973"/>
      <w:bookmarkEnd w:id="55"/>
      <w:bookmarkStart w:id="56" w:name="_Toc45697225"/>
      <w:bookmarkEnd w:id="56"/>
      <w:bookmarkStart w:id="57" w:name="_Toc5207"/>
      <w:bookmarkEnd w:id="57"/>
      <w:bookmarkStart w:id="58" w:name="_Toc22828056"/>
      <w:bookmarkEnd w:id="58"/>
      <w:bookmarkStart w:id="59" w:name="_Toc26002002"/>
      <w:bookmarkEnd w:id="59"/>
      <w:bookmarkStart w:id="60" w:name="_Toc24050274"/>
      <w:r>
        <w:rPr>
          <w:rFonts w:hint="eastAsia" w:ascii="宋体" w:hAnsi="宋体"/>
          <w:b/>
          <w:color w:val="auto"/>
          <w:sz w:val="21"/>
          <w:szCs w:val="21"/>
          <w:highlight w:val="none"/>
        </w:rPr>
        <w:t>6.投标文件的递交</w:t>
      </w:r>
      <w:bookmarkEnd w:id="60"/>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240" w:leftChars="100" w:firstLine="210" w:firstLineChars="100"/>
        <w:rPr>
          <w:rFonts w:ascii="宋体" w:hAnsi="宋体"/>
          <w:color w:val="auto"/>
          <w:sz w:val="21"/>
          <w:szCs w:val="21"/>
          <w:highlight w:val="none"/>
        </w:rPr>
      </w:pPr>
      <w:bookmarkStart w:id="61" w:name="_Toc27549"/>
      <w:bookmarkEnd w:id="61"/>
      <w:bookmarkStart w:id="62" w:name="bookmark8"/>
      <w:bookmarkEnd w:id="62"/>
      <w:bookmarkStart w:id="63" w:name="_Toc24050275"/>
      <w:bookmarkEnd w:id="63"/>
      <w:bookmarkStart w:id="64" w:name="_Toc22827974"/>
      <w:bookmarkEnd w:id="64"/>
      <w:bookmarkStart w:id="65" w:name="_Toc45697226"/>
      <w:bookmarkEnd w:id="65"/>
      <w:bookmarkStart w:id="66" w:name="_Toc26002003"/>
      <w:bookmarkEnd w:id="66"/>
      <w:bookmarkStart w:id="67" w:name="_Toc22828057"/>
      <w:bookmarkEnd w:id="67"/>
      <w:bookmarkStart w:id="68" w:name="_Toc26002056"/>
      <w:r>
        <w:rPr>
          <w:rFonts w:hint="eastAsia" w:ascii="宋体" w:hAnsi="宋体"/>
          <w:color w:val="auto"/>
          <w:sz w:val="21"/>
          <w:szCs w:val="21"/>
          <w:highlight w:val="none"/>
        </w:rPr>
        <w:t>6.1投标文件递交的截止时间（投标截止时间，下同）为</w:t>
      </w:r>
      <w:r>
        <w:rPr>
          <w:rFonts w:hint="eastAsia" w:ascii="宋体" w:hAnsi="宋体"/>
          <w:color w:val="auto"/>
          <w:sz w:val="21"/>
          <w:szCs w:val="21"/>
          <w:highlight w:val="none"/>
          <w:u w:val="single"/>
        </w:rPr>
        <w:t xml:space="preserve"> </w:t>
      </w:r>
      <w:r>
        <w:rPr>
          <w:rFonts w:hint="eastAsia" w:ascii="宋体" w:hAnsi="宋体"/>
          <w:b/>
          <w:bCs/>
          <w:color w:val="auto"/>
          <w:spacing w:val="-1"/>
          <w:sz w:val="21"/>
          <w:szCs w:val="21"/>
          <w:highlight w:val="none"/>
          <w:u w:val="single"/>
        </w:rPr>
        <w:t>202</w:t>
      </w:r>
      <w:r>
        <w:rPr>
          <w:rFonts w:hint="eastAsia" w:ascii="宋体" w:hAnsi="宋体"/>
          <w:b/>
          <w:bCs/>
          <w:color w:val="auto"/>
          <w:spacing w:val="-1"/>
          <w:sz w:val="21"/>
          <w:szCs w:val="21"/>
          <w:highlight w:val="none"/>
          <w:u w:val="single"/>
          <w:lang w:val="en-US" w:eastAsia="zh-CN"/>
        </w:rPr>
        <w:t>4</w:t>
      </w:r>
      <w:r>
        <w:rPr>
          <w:rFonts w:hint="eastAsia" w:ascii="宋体" w:hAnsi="宋体"/>
          <w:b/>
          <w:bCs/>
          <w:color w:val="auto"/>
          <w:spacing w:val="-1"/>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分</w:t>
      </w:r>
      <w:r>
        <w:rPr>
          <w:rFonts w:hint="eastAsia" w:ascii="宋体" w:hAnsi="宋体"/>
          <w:color w:val="auto"/>
          <w:spacing w:val="-1"/>
          <w:sz w:val="21"/>
          <w:szCs w:val="21"/>
          <w:highlight w:val="none"/>
        </w:rPr>
        <w:t>，</w:t>
      </w:r>
      <w:r>
        <w:rPr>
          <w:rFonts w:hint="eastAsia" w:ascii="宋体" w:hAnsi="宋体"/>
          <w:color w:val="auto"/>
          <w:sz w:val="21"/>
          <w:szCs w:val="21"/>
          <w:highlight w:val="none"/>
        </w:rPr>
        <w:t>电子招标投标交易平台：</w:t>
      </w:r>
      <w:r>
        <w:rPr>
          <w:rFonts w:hint="eastAsia" w:ascii="宋体" w:hAnsi="宋体"/>
          <w:color w:val="auto"/>
          <w:sz w:val="21"/>
          <w:szCs w:val="21"/>
          <w:highlight w:val="none"/>
          <w:u w:val="single"/>
        </w:rPr>
        <w:t xml:space="preserve"> </w:t>
      </w:r>
      <w:r>
        <w:rPr>
          <w:rFonts w:hint="eastAsia" w:ascii="宋体" w:hAnsi="宋体"/>
          <w:b/>
          <w:bCs/>
          <w:color w:val="auto"/>
          <w:spacing w:val="-1"/>
          <w:sz w:val="21"/>
          <w:szCs w:val="21"/>
          <w:highlight w:val="none"/>
          <w:u w:val="single"/>
        </w:rPr>
        <w:t xml:space="preserve">越城区公共资源交易平台 </w:t>
      </w:r>
      <w:r>
        <w:rPr>
          <w:rFonts w:hint="eastAsia" w:ascii="宋体" w:hAnsi="宋体"/>
          <w:color w:val="auto"/>
          <w:sz w:val="21"/>
          <w:szCs w:val="21"/>
          <w:highlight w:val="none"/>
        </w:rPr>
        <w:t>。</w:t>
      </w:r>
    </w:p>
    <w:p>
      <w:pPr>
        <w:keepNext w:val="0"/>
        <w:keepLines w:val="0"/>
        <w:pageBreakBefore w:val="0"/>
        <w:wordWrap/>
        <w:overflowPunct/>
        <w:topLinePunct w:val="0"/>
        <w:autoSpaceDE w:val="0"/>
        <w:autoSpaceDN w:val="0"/>
        <w:bidi w:val="0"/>
        <w:adjustRightInd w:val="0"/>
        <w:snapToGrid w:val="0"/>
        <w:spacing w:line="420" w:lineRule="exact"/>
        <w:rPr>
          <w:rFonts w:ascii="宋体" w:hAnsi="宋体"/>
          <w:b/>
          <w:color w:val="auto"/>
          <w:sz w:val="21"/>
          <w:szCs w:val="21"/>
          <w:highlight w:val="none"/>
        </w:rPr>
      </w:pPr>
      <w:r>
        <w:rPr>
          <w:rFonts w:hint="eastAsia" w:ascii="宋体" w:hAnsi="宋体"/>
          <w:b/>
          <w:color w:val="auto"/>
          <w:sz w:val="21"/>
          <w:szCs w:val="21"/>
          <w:highlight w:val="none"/>
        </w:rPr>
        <w:t>7.联系方式</w:t>
      </w:r>
      <w:bookmarkEnd w:id="68"/>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6150" w:leftChars="200" w:hanging="5670" w:hangingChars="2700"/>
        <w:jc w:val="both"/>
        <w:rPr>
          <w:b/>
          <w:bCs/>
          <w:color w:val="auto"/>
          <w:sz w:val="21"/>
          <w:szCs w:val="21"/>
          <w:highlight w:val="none"/>
        </w:rPr>
      </w:pPr>
      <w:bookmarkStart w:id="69" w:name="bookmark10"/>
      <w:bookmarkEnd w:id="69"/>
      <w:bookmarkStart w:id="70" w:name="_Toc45697228"/>
      <w:bookmarkEnd w:id="70"/>
      <w:r>
        <w:rPr>
          <w:rFonts w:hint="eastAsia" w:ascii="宋体" w:hAnsi="宋体"/>
          <w:color w:val="auto"/>
          <w:sz w:val="21"/>
          <w:szCs w:val="21"/>
          <w:highlight w:val="none"/>
        </w:rPr>
        <w:t>招标人：</w:t>
      </w:r>
      <w:r>
        <w:rPr>
          <w:rFonts w:hint="eastAsia" w:ascii="宋体" w:hAnsi="宋体" w:cs="宋体"/>
          <w:b/>
          <w:iCs/>
          <w:color w:val="auto"/>
          <w:sz w:val="21"/>
          <w:szCs w:val="21"/>
          <w:highlight w:val="none"/>
          <w:u w:val="single"/>
          <w:lang w:eastAsia="zh-CN"/>
        </w:rPr>
        <w:t>绍兴市越城区建设投资有限公司</w:t>
      </w:r>
      <w:r>
        <w:rPr>
          <w:rFonts w:hint="eastAsia" w:ascii="宋体" w:hAnsi="宋体"/>
          <w:color w:val="auto"/>
          <w:sz w:val="21"/>
          <w:szCs w:val="21"/>
          <w:highlight w:val="none"/>
        </w:rPr>
        <w:t>招标代理机构：</w:t>
      </w:r>
      <w:r>
        <w:rPr>
          <w:rFonts w:hint="eastAsia" w:ascii="宋体" w:hAnsi="宋体" w:cs="宋体"/>
          <w:b/>
          <w:iCs/>
          <w:color w:val="auto"/>
          <w:sz w:val="21"/>
          <w:szCs w:val="21"/>
          <w:highlight w:val="none"/>
          <w:u w:val="single"/>
          <w:lang w:eastAsia="zh-CN"/>
        </w:rPr>
        <w:t>中冠工程管理咨询有限公司</w:t>
      </w:r>
      <w:r>
        <w:rPr>
          <w:rFonts w:hint="eastAsia" w:ascii="宋体" w:hAnsi="宋体"/>
          <w:b/>
          <w:bCs/>
          <w:color w:val="auto"/>
          <w:spacing w:val="-28"/>
          <w:sz w:val="21"/>
          <w:szCs w:val="21"/>
          <w:highlight w:val="none"/>
          <w:u w:val="single"/>
        </w:rPr>
        <w:t xml:space="preserve"> </w:t>
      </w:r>
    </w:p>
    <w:p>
      <w:pPr>
        <w:keepNext w:val="0"/>
        <w:keepLines w:val="0"/>
        <w:pageBreakBefore w:val="0"/>
        <w:widowControl/>
        <w:wordWrap/>
        <w:overflowPunct/>
        <w:topLinePunct w:val="0"/>
        <w:autoSpaceDE w:val="0"/>
        <w:autoSpaceDN w:val="0"/>
        <w:bidi w:val="0"/>
        <w:adjustRightInd w:val="0"/>
        <w:spacing w:line="420" w:lineRule="exact"/>
        <w:ind w:firstLine="420" w:firstLineChars="200"/>
        <w:rPr>
          <w:rFonts w:hint="default" w:ascii="宋体" w:hAnsi="宋体" w:eastAsia="宋体"/>
          <w:b/>
          <w:bCs/>
          <w:color w:val="auto"/>
          <w:spacing w:val="-23"/>
          <w:sz w:val="21"/>
          <w:szCs w:val="21"/>
          <w:highlight w:val="none"/>
          <w:u w:val="single"/>
          <w:lang w:val="en-US" w:eastAsia="zh-CN"/>
        </w:rPr>
      </w:pPr>
      <w:r>
        <w:rPr>
          <w:rFonts w:hint="eastAsia" w:ascii="宋体" w:hAnsi="宋体"/>
          <w:color w:val="auto"/>
          <w:sz w:val="21"/>
          <w:szCs w:val="21"/>
          <w:highlight w:val="none"/>
        </w:rPr>
        <w:t>地  址：</w:t>
      </w:r>
      <w:r>
        <w:rPr>
          <w:rFonts w:hint="eastAsia" w:ascii="宋体" w:hAnsi="宋体"/>
          <w:b/>
          <w:bCs/>
          <w:color w:val="auto"/>
          <w:spacing w:val="-23"/>
          <w:sz w:val="21"/>
          <w:szCs w:val="21"/>
          <w:highlight w:val="none"/>
          <w:u w:val="single"/>
        </w:rPr>
        <w:t xml:space="preserve"> </w:t>
      </w:r>
      <w:r>
        <w:rPr>
          <w:rFonts w:hint="eastAsia" w:ascii="宋体" w:hAnsi="宋体"/>
          <w:b/>
          <w:bCs/>
          <w:color w:val="auto"/>
          <w:spacing w:val="-23"/>
          <w:sz w:val="21"/>
          <w:szCs w:val="21"/>
          <w:highlight w:val="none"/>
          <w:u w:val="single"/>
          <w:lang w:eastAsia="zh-CN"/>
        </w:rPr>
        <w:t>绍兴市剡溪路488号越毅大厦</w:t>
      </w:r>
      <w:r>
        <w:rPr>
          <w:rFonts w:hint="eastAsia" w:ascii="宋体" w:hAnsi="宋体"/>
          <w:b/>
          <w:bCs/>
          <w:color w:val="auto"/>
          <w:spacing w:val="-23"/>
          <w:sz w:val="21"/>
          <w:szCs w:val="21"/>
          <w:highlight w:val="none"/>
          <w:u w:val="single"/>
        </w:rPr>
        <w:t xml:space="preserve">   </w:t>
      </w:r>
      <w:r>
        <w:rPr>
          <w:rFonts w:hint="eastAsia" w:ascii="宋体" w:hAnsi="宋体"/>
          <w:b/>
          <w:bCs/>
          <w:color w:val="auto"/>
          <w:spacing w:val="-23"/>
          <w:sz w:val="21"/>
          <w:szCs w:val="21"/>
          <w:highlight w:val="none"/>
        </w:rPr>
        <w:t xml:space="preserve">         </w:t>
      </w:r>
      <w:r>
        <w:rPr>
          <w:rFonts w:hint="eastAsia" w:ascii="宋体" w:hAnsi="宋体"/>
          <w:color w:val="auto"/>
          <w:sz w:val="21"/>
          <w:szCs w:val="21"/>
          <w:highlight w:val="none"/>
        </w:rPr>
        <w:t>地 址：</w:t>
      </w:r>
      <w:r>
        <w:rPr>
          <w:rFonts w:hint="eastAsia" w:ascii="宋体" w:hAnsi="宋体"/>
          <w:b/>
          <w:bCs/>
          <w:color w:val="auto"/>
          <w:spacing w:val="-23"/>
          <w:sz w:val="21"/>
          <w:szCs w:val="21"/>
          <w:highlight w:val="none"/>
          <w:u w:val="single"/>
          <w:lang w:eastAsia="zh-CN"/>
        </w:rPr>
        <w:t>玛格丽特商业中心西区</w:t>
      </w:r>
      <w:r>
        <w:rPr>
          <w:rFonts w:hint="eastAsia" w:ascii="宋体" w:hAnsi="宋体"/>
          <w:b/>
          <w:bCs/>
          <w:color w:val="auto"/>
          <w:spacing w:val="-23"/>
          <w:sz w:val="21"/>
          <w:szCs w:val="21"/>
          <w:highlight w:val="none"/>
          <w:u w:val="single"/>
          <w:lang w:val="en-US" w:eastAsia="zh-CN"/>
        </w:rPr>
        <w:t xml:space="preserve">1幢3楼  </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color w:val="auto"/>
          <w:sz w:val="21"/>
          <w:szCs w:val="21"/>
          <w:highlight w:val="none"/>
          <w:u w:val="single"/>
        </w:rPr>
      </w:pPr>
      <w:r>
        <w:rPr>
          <w:rFonts w:hint="eastAsia" w:ascii="宋体" w:hAnsi="宋体"/>
          <w:color w:val="auto"/>
          <w:sz w:val="21"/>
          <w:szCs w:val="21"/>
          <w:highlight w:val="none"/>
        </w:rPr>
        <w:t>联系人：</w:t>
      </w:r>
      <w:r>
        <w:rPr>
          <w:color w:val="auto"/>
          <w:sz w:val="21"/>
          <w:szCs w:val="21"/>
          <w:highlight w:val="none"/>
          <w:u w:val="single"/>
        </w:rPr>
        <w:tab/>
      </w:r>
      <w:r>
        <w:rPr>
          <w:rFonts w:hint="eastAsia"/>
          <w:color w:val="auto"/>
          <w:sz w:val="21"/>
          <w:szCs w:val="21"/>
          <w:highlight w:val="none"/>
          <w:u w:val="single"/>
        </w:rPr>
        <w:t xml:space="preserve">   </w:t>
      </w:r>
      <w:r>
        <w:rPr>
          <w:rFonts w:hint="eastAsia" w:ascii="宋体" w:hAnsi="宋体"/>
          <w:b/>
          <w:bCs/>
          <w:color w:val="auto"/>
          <w:spacing w:val="-23"/>
          <w:sz w:val="21"/>
          <w:szCs w:val="21"/>
          <w:highlight w:val="none"/>
          <w:u w:val="single"/>
        </w:rPr>
        <w:t xml:space="preserve"> </w:t>
      </w:r>
      <w:r>
        <w:rPr>
          <w:rFonts w:hint="eastAsia" w:ascii="宋体" w:hAnsi="宋体"/>
          <w:b/>
          <w:bCs/>
          <w:color w:val="auto"/>
          <w:spacing w:val="-23"/>
          <w:sz w:val="21"/>
          <w:szCs w:val="21"/>
          <w:highlight w:val="none"/>
          <w:u w:val="single"/>
          <w:lang w:eastAsia="zh-CN"/>
        </w:rPr>
        <w:t>陈</w:t>
      </w:r>
      <w:r>
        <w:rPr>
          <w:rFonts w:hint="eastAsia" w:ascii="宋体" w:hAnsi="宋体"/>
          <w:b/>
          <w:bCs/>
          <w:color w:val="auto"/>
          <w:spacing w:val="-23"/>
          <w:sz w:val="21"/>
          <w:szCs w:val="21"/>
          <w:highlight w:val="none"/>
          <w:u w:val="single"/>
        </w:rPr>
        <w:t xml:space="preserve">工 </w:t>
      </w:r>
      <w:r>
        <w:rPr>
          <w:rFonts w:hint="eastAsia" w:ascii="宋体" w:hAnsi="宋体"/>
          <w:b/>
          <w:bCs/>
          <w:color w:val="auto"/>
          <w:spacing w:val="-1"/>
          <w:sz w:val="21"/>
          <w:szCs w:val="21"/>
          <w:highlight w:val="none"/>
          <w:u w:val="single"/>
        </w:rPr>
        <w:t xml:space="preserve"> </w:t>
      </w:r>
      <w:r>
        <w:rPr>
          <w:rFonts w:hint="eastAsia"/>
          <w:color w:val="auto"/>
          <w:sz w:val="21"/>
          <w:szCs w:val="21"/>
          <w:highlight w:val="none"/>
          <w:u w:val="single"/>
        </w:rPr>
        <w:t xml:space="preserve">              </w:t>
      </w:r>
      <w:r>
        <w:rPr>
          <w:rFonts w:hint="eastAsia"/>
          <w:color w:val="auto"/>
          <w:sz w:val="21"/>
          <w:szCs w:val="21"/>
          <w:highlight w:val="none"/>
        </w:rPr>
        <w:t xml:space="preserve">   </w:t>
      </w:r>
      <w:r>
        <w:rPr>
          <w:rFonts w:hint="eastAsia" w:ascii="宋体" w:hAnsi="宋体"/>
          <w:color w:val="auto"/>
          <w:sz w:val="21"/>
          <w:szCs w:val="21"/>
          <w:highlight w:val="none"/>
        </w:rPr>
        <w:t>联系人：</w:t>
      </w:r>
      <w:r>
        <w:rPr>
          <w:color w:val="auto"/>
          <w:sz w:val="21"/>
          <w:szCs w:val="21"/>
          <w:highlight w:val="none"/>
          <w:u w:val="single"/>
        </w:rPr>
        <w:tab/>
      </w:r>
      <w:r>
        <w:rPr>
          <w:rFonts w:hint="eastAsia"/>
          <w:color w:val="auto"/>
          <w:sz w:val="21"/>
          <w:szCs w:val="21"/>
          <w:highlight w:val="none"/>
          <w:u w:val="single"/>
        </w:rPr>
        <w:t xml:space="preserve">    </w:t>
      </w:r>
      <w:r>
        <w:rPr>
          <w:rFonts w:hint="eastAsia" w:ascii="宋体" w:hAnsi="宋体"/>
          <w:b/>
          <w:bCs/>
          <w:color w:val="auto"/>
          <w:spacing w:val="-23"/>
          <w:sz w:val="21"/>
          <w:szCs w:val="21"/>
          <w:highlight w:val="none"/>
          <w:u w:val="single"/>
        </w:rPr>
        <w:t xml:space="preserve">  </w:t>
      </w:r>
      <w:r>
        <w:rPr>
          <w:rFonts w:hint="eastAsia" w:ascii="宋体" w:hAnsi="宋体"/>
          <w:b/>
          <w:bCs/>
          <w:color w:val="auto"/>
          <w:spacing w:val="-23"/>
          <w:sz w:val="21"/>
          <w:szCs w:val="21"/>
          <w:highlight w:val="none"/>
          <w:u w:val="single"/>
          <w:lang w:eastAsia="zh-CN"/>
        </w:rPr>
        <w:t>陈工</w:t>
      </w:r>
      <w:r>
        <w:rPr>
          <w:rFonts w:hint="eastAsia" w:ascii="宋体" w:hAnsi="宋体"/>
          <w:b/>
          <w:bCs/>
          <w:color w:val="auto"/>
          <w:spacing w:val="-1"/>
          <w:sz w:val="21"/>
          <w:szCs w:val="21"/>
          <w:highlight w:val="none"/>
          <w:u w:val="single"/>
        </w:rPr>
        <w:t xml:space="preserve">  </w:t>
      </w:r>
      <w:r>
        <w:rPr>
          <w:rFonts w:hint="eastAsia" w:ascii="宋体" w:hAnsi="宋体"/>
          <w:b/>
          <w:bCs/>
          <w:color w:val="auto"/>
          <w:spacing w:val="-1"/>
          <w:sz w:val="21"/>
          <w:szCs w:val="21"/>
          <w:highlight w:val="none"/>
          <w:u w:val="single"/>
          <w:lang w:val="en-US" w:eastAsia="zh-CN"/>
        </w:rPr>
        <w:t xml:space="preserve">  </w:t>
      </w:r>
      <w:r>
        <w:rPr>
          <w:rFonts w:hint="eastAsia"/>
          <w:color w:val="auto"/>
          <w:sz w:val="21"/>
          <w:szCs w:val="21"/>
          <w:highlight w:val="none"/>
          <w:u w:val="single"/>
        </w:rPr>
        <w:t xml:space="preserve">  </w:t>
      </w:r>
    </w:p>
    <w:p>
      <w:pPr>
        <w:keepNext w:val="0"/>
        <w:keepLines w:val="0"/>
        <w:pageBreakBefore w:val="0"/>
        <w:widowControl/>
        <w:tabs>
          <w:tab w:val="left" w:pos="2694"/>
        </w:tabs>
        <w:wordWrap/>
        <w:overflowPunct/>
        <w:topLinePunct w:val="0"/>
        <w:autoSpaceDE w:val="0"/>
        <w:autoSpaceDN w:val="0"/>
        <w:bidi w:val="0"/>
        <w:adjustRightInd w:val="0"/>
        <w:spacing w:line="420" w:lineRule="exact"/>
        <w:ind w:left="-161" w:leftChars="-67"/>
        <w:jc w:val="both"/>
        <w:rPr>
          <w:rFonts w:ascii="宋体" w:hAnsi="宋体"/>
          <w:b/>
          <w:bCs/>
          <w:color w:val="auto"/>
          <w:spacing w:val="-23"/>
          <w:sz w:val="21"/>
          <w:szCs w:val="21"/>
          <w:highlight w:val="none"/>
          <w:u w:val="single"/>
        </w:rPr>
      </w:pPr>
      <w:r>
        <w:rPr>
          <w:rFonts w:hint="eastAsia" w:ascii="宋体" w:hAnsi="宋体"/>
          <w:color w:val="auto"/>
          <w:sz w:val="21"/>
          <w:szCs w:val="21"/>
          <w:highlight w:val="none"/>
        </w:rPr>
        <w:t xml:space="preserve">     电  话：</w:t>
      </w:r>
      <w:r>
        <w:rPr>
          <w:rFonts w:hint="eastAsia" w:ascii="宋体" w:hAnsi="宋体" w:cs="Arial"/>
          <w:color w:val="auto"/>
          <w:sz w:val="21"/>
          <w:szCs w:val="21"/>
          <w:highlight w:val="none"/>
          <w:u w:val="single"/>
        </w:rPr>
        <w:t xml:space="preserve">   </w:t>
      </w:r>
      <w:r>
        <w:rPr>
          <w:rFonts w:hint="eastAsia"/>
          <w:color w:val="auto"/>
          <w:sz w:val="21"/>
          <w:szCs w:val="21"/>
          <w:highlight w:val="none"/>
          <w:u w:val="single"/>
          <w:lang w:val="en-US" w:eastAsia="zh-CN"/>
        </w:rPr>
        <w:t xml:space="preserve"> 0575-88613909            </w:t>
      </w:r>
      <w:r>
        <w:rPr>
          <w:rFonts w:hint="eastAsia"/>
          <w:color w:val="auto"/>
          <w:sz w:val="21"/>
          <w:szCs w:val="21"/>
          <w:highlight w:val="none"/>
        </w:rPr>
        <w:t xml:space="preserve">      </w:t>
      </w:r>
      <w:r>
        <w:rPr>
          <w:rFonts w:hint="eastAsia" w:ascii="宋体" w:hAnsi="宋体"/>
          <w:color w:val="auto"/>
          <w:sz w:val="21"/>
          <w:szCs w:val="21"/>
          <w:highlight w:val="none"/>
        </w:rPr>
        <w:t>电   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b/>
          <w:bCs/>
          <w:color w:val="auto"/>
          <w:spacing w:val="-23"/>
          <w:sz w:val="21"/>
          <w:szCs w:val="21"/>
          <w:highlight w:val="none"/>
          <w:u w:val="single"/>
          <w:lang w:val="en-US" w:eastAsia="zh-CN"/>
        </w:rPr>
        <w:t>13867575754</w:t>
      </w:r>
      <w:r>
        <w:rPr>
          <w:rFonts w:hint="eastAsia" w:ascii="宋体" w:hAnsi="宋体"/>
          <w:b/>
          <w:bCs/>
          <w:color w:val="auto"/>
          <w:spacing w:val="-23"/>
          <w:sz w:val="21"/>
          <w:szCs w:val="21"/>
          <w:highlight w:val="none"/>
          <w:u w:val="single"/>
        </w:rPr>
        <w:t xml:space="preserve">              </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firstLine="420" w:firstLineChars="200"/>
        <w:jc w:val="both"/>
        <w:rPr>
          <w:color w:val="auto"/>
          <w:sz w:val="21"/>
          <w:szCs w:val="21"/>
          <w:highlight w:val="none"/>
        </w:rPr>
      </w:pPr>
      <w:r>
        <w:rPr>
          <w:rFonts w:hint="eastAsia" w:ascii="宋体" w:hAnsi="宋体"/>
          <w:color w:val="auto"/>
          <w:sz w:val="21"/>
          <w:szCs w:val="21"/>
          <w:highlight w:val="none"/>
        </w:rPr>
        <w:t>邮  箱：</w:t>
      </w:r>
      <w:r>
        <w:rPr>
          <w:color w:val="auto"/>
          <w:sz w:val="21"/>
          <w:szCs w:val="21"/>
          <w:highlight w:val="none"/>
          <w:u w:val="single"/>
        </w:rPr>
        <w:tab/>
      </w:r>
      <w:r>
        <w:rPr>
          <w:rFonts w:hint="eastAsia"/>
          <w:color w:val="auto"/>
          <w:sz w:val="21"/>
          <w:szCs w:val="21"/>
          <w:highlight w:val="none"/>
          <w:u w:val="single"/>
        </w:rPr>
        <w:t xml:space="preserve">      /               </w:t>
      </w:r>
      <w:r>
        <w:rPr>
          <w:rFonts w:hint="eastAsia"/>
          <w:color w:val="auto"/>
          <w:sz w:val="21"/>
          <w:szCs w:val="21"/>
          <w:highlight w:val="none"/>
        </w:rPr>
        <w:t xml:space="preserve">    </w:t>
      </w:r>
      <w:r>
        <w:rPr>
          <w:rFonts w:hint="eastAsia" w:ascii="宋体" w:hAnsi="宋体"/>
          <w:color w:val="auto"/>
          <w:sz w:val="21"/>
          <w:szCs w:val="21"/>
          <w:highlight w:val="none"/>
        </w:rPr>
        <w:t>邮    箱：</w:t>
      </w:r>
      <w:r>
        <w:rPr>
          <w:color w:val="auto"/>
          <w:sz w:val="21"/>
          <w:szCs w:val="21"/>
          <w:highlight w:val="none"/>
          <w:u w:val="single"/>
        </w:rPr>
        <w:tab/>
      </w:r>
      <w:r>
        <w:rPr>
          <w:rFonts w:hint="eastAsia" w:ascii="宋体" w:hAnsi="宋体"/>
          <w:b/>
          <w:bCs/>
          <w:color w:val="auto"/>
          <w:spacing w:val="-1"/>
          <w:sz w:val="21"/>
          <w:szCs w:val="21"/>
          <w:highlight w:val="none"/>
          <w:u w:val="single"/>
        </w:rPr>
        <w:t xml:space="preserve"> </w:t>
      </w:r>
      <w:r>
        <w:rPr>
          <w:rFonts w:hint="eastAsia" w:ascii="宋体" w:hAnsi="宋体"/>
          <w:b/>
          <w:bCs/>
          <w:color w:val="auto"/>
          <w:spacing w:val="-1"/>
          <w:sz w:val="21"/>
          <w:szCs w:val="21"/>
          <w:highlight w:val="none"/>
          <w:u w:val="single"/>
          <w:lang w:val="en-US" w:eastAsia="zh-CN"/>
        </w:rPr>
        <w:t>740592615</w:t>
      </w:r>
      <w:r>
        <w:rPr>
          <w:rFonts w:hint="eastAsia" w:ascii="宋体" w:hAnsi="宋体"/>
          <w:b/>
          <w:bCs/>
          <w:color w:val="auto"/>
          <w:spacing w:val="-1"/>
          <w:sz w:val="21"/>
          <w:szCs w:val="21"/>
          <w:highlight w:val="none"/>
          <w:u w:val="single"/>
        </w:rPr>
        <w:t xml:space="preserve">@qq.com   </w:t>
      </w:r>
      <w:r>
        <w:rPr>
          <w:rFonts w:hint="eastAsia"/>
          <w:color w:val="auto"/>
          <w:sz w:val="21"/>
          <w:szCs w:val="21"/>
          <w:highlight w:val="none"/>
          <w:u w:val="single"/>
        </w:rPr>
        <w:t xml:space="preserve"> </w:t>
      </w: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right="905" w:firstLine="4725" w:firstLineChars="2250"/>
        <w:jc w:val="both"/>
        <w:rPr>
          <w:rFonts w:ascii="宋体" w:hAnsi="宋体"/>
          <w:color w:val="auto"/>
          <w:sz w:val="21"/>
          <w:szCs w:val="21"/>
          <w:highlight w:val="none"/>
        </w:rPr>
      </w:pPr>
    </w:p>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420" w:lineRule="exact"/>
        <w:ind w:left="0" w:right="905" w:firstLine="4725" w:firstLineChars="2250"/>
        <w:jc w:val="both"/>
        <w:rPr>
          <w:color w:val="auto"/>
          <w:sz w:val="21"/>
          <w:szCs w:val="21"/>
          <w:highlight w:val="none"/>
        </w:rPr>
      </w:pP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 xml:space="preserve">年    </w:t>
      </w:r>
      <w:r>
        <w:rPr>
          <w:rFonts w:hint="eastAsia" w:ascii="宋体" w:hAnsi="宋体"/>
          <w:color w:val="auto"/>
          <w:spacing w:val="-3"/>
          <w:sz w:val="21"/>
          <w:szCs w:val="21"/>
          <w:highlight w:val="none"/>
        </w:rPr>
        <w:t xml:space="preserve">月    </w:t>
      </w:r>
      <w:r>
        <w:rPr>
          <w:rFonts w:hint="eastAsia" w:ascii="宋体" w:hAnsi="宋体"/>
          <w:color w:val="auto"/>
          <w:sz w:val="21"/>
          <w:szCs w:val="21"/>
          <w:highlight w:val="none"/>
        </w:rPr>
        <w:t>日</w:t>
      </w:r>
    </w:p>
    <w:p>
      <w:pPr>
        <w:widowControl/>
        <w:autoSpaceDE/>
        <w:autoSpaceDN/>
        <w:adjustRightInd/>
        <w:spacing w:line="460" w:lineRule="atLeast"/>
        <w:ind w:right="420"/>
        <w:jc w:val="both"/>
        <w:rPr>
          <w:rFonts w:ascii="宋体" w:hAnsi="宋体"/>
          <w:color w:val="auto"/>
          <w:sz w:val="21"/>
          <w:szCs w:val="21"/>
          <w:highlight w:val="none"/>
        </w:rPr>
      </w:pPr>
    </w:p>
    <w:p>
      <w:pPr>
        <w:widowControl/>
        <w:autoSpaceDE/>
        <w:autoSpaceDN/>
        <w:adjustRightInd/>
        <w:spacing w:line="360" w:lineRule="exact"/>
        <w:ind w:right="420"/>
        <w:jc w:val="both"/>
        <w:rPr>
          <w:rFonts w:ascii="宋体" w:hAnsi="宋体"/>
          <w:color w:val="auto"/>
          <w:highlight w:val="none"/>
        </w:rPr>
      </w:pPr>
    </w:p>
    <w:p>
      <w:pPr>
        <w:widowControl/>
        <w:autoSpaceDE/>
        <w:autoSpaceDN/>
        <w:adjustRightInd/>
        <w:spacing w:line="360" w:lineRule="exact"/>
        <w:ind w:right="420" w:firstLine="240" w:firstLineChars="100"/>
        <w:jc w:val="both"/>
        <w:rPr>
          <w:rFonts w:ascii="宋体" w:hAnsi="宋体"/>
          <w:color w:val="auto"/>
          <w:highlight w:val="none"/>
        </w:rPr>
      </w:pPr>
    </w:p>
    <w:p>
      <w:pPr>
        <w:pStyle w:val="3"/>
        <w:ind w:firstLine="1325" w:firstLineChars="300"/>
        <w:rPr>
          <w:rFonts w:hint="eastAsia" w:ascii="黑体" w:hAnsi="黑体"/>
          <w:b/>
          <w:color w:val="auto"/>
          <w:highlight w:val="none"/>
        </w:rPr>
      </w:pPr>
      <w:bookmarkStart w:id="71" w:name="_Toc22828066"/>
      <w:bookmarkEnd w:id="71"/>
      <w:bookmarkStart w:id="72" w:name="_Toc1035"/>
      <w:bookmarkEnd w:id="72"/>
      <w:bookmarkStart w:id="73" w:name="bookmark20"/>
      <w:bookmarkEnd w:id="73"/>
      <w:bookmarkStart w:id="74" w:name="_Toc67589033"/>
      <w:bookmarkEnd w:id="74"/>
      <w:bookmarkStart w:id="75" w:name="_Toc45697229"/>
    </w:p>
    <w:p>
      <w:pPr>
        <w:pStyle w:val="3"/>
        <w:ind w:firstLine="1325" w:firstLineChars="300"/>
        <w:rPr>
          <w:rFonts w:hint="eastAsia" w:ascii="黑体" w:hAnsi="黑体"/>
          <w:b/>
          <w:color w:val="auto"/>
          <w:highlight w:val="none"/>
        </w:rPr>
      </w:pPr>
    </w:p>
    <w:p>
      <w:pPr>
        <w:rPr>
          <w:rFonts w:hint="eastAsia" w:ascii="黑体" w:hAnsi="黑体"/>
          <w:b/>
          <w:color w:val="auto"/>
          <w:highlight w:val="none"/>
        </w:rPr>
      </w:pPr>
      <w:r>
        <w:rPr>
          <w:rFonts w:hint="eastAsia" w:ascii="黑体" w:hAnsi="黑体"/>
          <w:b/>
          <w:color w:val="auto"/>
          <w:highlight w:val="none"/>
        </w:rPr>
        <w:br w:type="page"/>
      </w:r>
    </w:p>
    <w:p>
      <w:pPr>
        <w:pStyle w:val="3"/>
        <w:ind w:firstLine="2650" w:firstLineChars="600"/>
        <w:jc w:val="both"/>
        <w:rPr>
          <w:b/>
          <w:color w:val="auto"/>
          <w:highlight w:val="none"/>
        </w:rPr>
      </w:pPr>
      <w:r>
        <w:rPr>
          <w:rFonts w:hint="eastAsia" w:ascii="黑体" w:hAnsi="黑体"/>
          <w:b/>
          <w:color w:val="auto"/>
          <w:highlight w:val="none"/>
        </w:rPr>
        <w:t>第二章投标人须知</w:t>
      </w:r>
      <w:bookmarkEnd w:id="75"/>
    </w:p>
    <w:p>
      <w:pPr>
        <w:jc w:val="center"/>
        <w:rPr>
          <w:b/>
          <w:color w:val="auto"/>
          <w:sz w:val="32"/>
          <w:szCs w:val="32"/>
          <w:highlight w:val="none"/>
        </w:rPr>
      </w:pPr>
      <w:bookmarkStart w:id="76" w:name="_Toc45697230"/>
      <w:bookmarkEnd w:id="76"/>
      <w:bookmarkStart w:id="77" w:name="_Toc17203"/>
      <w:bookmarkEnd w:id="77"/>
      <w:bookmarkStart w:id="78" w:name="bookmark21"/>
      <w:bookmarkEnd w:id="78"/>
      <w:bookmarkStart w:id="79" w:name="_Toc22828067"/>
      <w:r>
        <w:rPr>
          <w:rFonts w:hint="eastAsia" w:ascii="宋体" w:hAnsi="宋体"/>
          <w:b/>
          <w:color w:val="auto"/>
          <w:sz w:val="32"/>
          <w:szCs w:val="32"/>
          <w:highlight w:val="none"/>
        </w:rPr>
        <w:t>投标人须知前附表</w:t>
      </w:r>
      <w:bookmarkEnd w:id="79"/>
    </w:p>
    <w:p>
      <w:pPr>
        <w:pStyle w:val="10"/>
        <w:kinsoku w:val="0"/>
        <w:spacing w:before="12" w:beforeAutospacing="0"/>
        <w:ind w:left="0"/>
        <w:rPr>
          <w:rFonts w:ascii="Microsoft JhengHei" w:eastAsia="Microsoft JhengHei"/>
          <w:b/>
          <w:bCs/>
          <w:color w:val="auto"/>
          <w:sz w:val="12"/>
          <w:szCs w:val="12"/>
          <w:highlight w:val="none"/>
        </w:rPr>
      </w:pPr>
    </w:p>
    <w:tbl>
      <w:tblPr>
        <w:tblStyle w:val="18"/>
        <w:tblW w:w="9728" w:type="dxa"/>
        <w:tblInd w:w="-107" w:type="dxa"/>
        <w:tblLayout w:type="fixed"/>
        <w:tblCellMar>
          <w:top w:w="0" w:type="dxa"/>
          <w:left w:w="57" w:type="dxa"/>
          <w:bottom w:w="0" w:type="dxa"/>
          <w:right w:w="57" w:type="dxa"/>
        </w:tblCellMar>
      </w:tblPr>
      <w:tblGrid>
        <w:gridCol w:w="1173"/>
        <w:gridCol w:w="1826"/>
        <w:gridCol w:w="6729"/>
      </w:tblGrid>
      <w:tr>
        <w:tblPrEx>
          <w:tblCellMar>
            <w:top w:w="0" w:type="dxa"/>
            <w:left w:w="57" w:type="dxa"/>
            <w:bottom w:w="0" w:type="dxa"/>
            <w:right w:w="57" w:type="dxa"/>
          </w:tblCellMar>
        </w:tblPrEx>
        <w:trPr>
          <w:trHeight w:val="518" w:hRule="atLeast"/>
        </w:trPr>
        <w:tc>
          <w:tcPr>
            <w:tcW w:w="1173" w:type="dxa"/>
            <w:tcBorders>
              <w:top w:val="single" w:color="000000" w:sz="4" w:space="0"/>
              <w:left w:val="single" w:color="000000" w:sz="4" w:space="0"/>
              <w:bottom w:val="single" w:color="000000" w:sz="4" w:space="0"/>
              <w:right w:val="single" w:color="000000" w:sz="4" w:space="0"/>
            </w:tcBorders>
          </w:tcPr>
          <w:p>
            <w:pPr>
              <w:pStyle w:val="26"/>
              <w:kinsoku w:val="0"/>
              <w:spacing w:line="400" w:lineRule="exact"/>
              <w:ind w:left="259"/>
              <w:rPr>
                <w:rFonts w:ascii="宋体" w:hAnsi="宋体"/>
                <w:color w:val="auto"/>
                <w:sz w:val="21"/>
                <w:szCs w:val="21"/>
                <w:highlight w:val="none"/>
              </w:rPr>
            </w:pPr>
            <w:r>
              <w:rPr>
                <w:rFonts w:hint="eastAsia" w:ascii="宋体" w:hAnsi="宋体" w:cs="Microsoft JhengHei"/>
                <w:b/>
                <w:bCs/>
                <w:color w:val="auto"/>
                <w:sz w:val="21"/>
                <w:szCs w:val="21"/>
                <w:highlight w:val="none"/>
              </w:rPr>
              <w:t>条款号</w:t>
            </w:r>
          </w:p>
        </w:tc>
        <w:tc>
          <w:tcPr>
            <w:tcW w:w="1826" w:type="dxa"/>
            <w:tcBorders>
              <w:top w:val="single" w:color="000000" w:sz="4" w:space="0"/>
              <w:left w:val="nil"/>
              <w:bottom w:val="single" w:color="000000" w:sz="4" w:space="0"/>
              <w:right w:val="single" w:color="000000" w:sz="4" w:space="0"/>
            </w:tcBorders>
          </w:tcPr>
          <w:p>
            <w:pPr>
              <w:pStyle w:val="26"/>
              <w:kinsoku w:val="0"/>
              <w:spacing w:line="400" w:lineRule="exact"/>
              <w:jc w:val="center"/>
              <w:rPr>
                <w:rFonts w:ascii="宋体" w:hAnsi="宋体"/>
                <w:color w:val="auto"/>
                <w:sz w:val="21"/>
                <w:szCs w:val="21"/>
                <w:highlight w:val="none"/>
              </w:rPr>
            </w:pPr>
            <w:r>
              <w:rPr>
                <w:rFonts w:hint="eastAsia" w:ascii="宋体" w:hAnsi="宋体" w:cs="Microsoft JhengHei"/>
                <w:b/>
                <w:bCs/>
                <w:color w:val="auto"/>
                <w:sz w:val="21"/>
                <w:szCs w:val="21"/>
                <w:highlight w:val="none"/>
              </w:rPr>
              <w:t>条款名称</w:t>
            </w:r>
          </w:p>
        </w:tc>
        <w:tc>
          <w:tcPr>
            <w:tcW w:w="6729" w:type="dxa"/>
            <w:tcBorders>
              <w:top w:val="single" w:color="000000" w:sz="4" w:space="0"/>
              <w:left w:val="nil"/>
              <w:bottom w:val="single" w:color="000000" w:sz="4" w:space="0"/>
              <w:right w:val="single" w:color="000000" w:sz="4" w:space="0"/>
            </w:tcBorders>
          </w:tcPr>
          <w:p>
            <w:pPr>
              <w:pStyle w:val="26"/>
              <w:kinsoku w:val="0"/>
              <w:spacing w:line="400" w:lineRule="exact"/>
              <w:ind w:left="2"/>
              <w:jc w:val="center"/>
              <w:rPr>
                <w:rFonts w:ascii="宋体" w:hAnsi="宋体"/>
                <w:color w:val="auto"/>
                <w:sz w:val="21"/>
                <w:szCs w:val="21"/>
                <w:highlight w:val="none"/>
              </w:rPr>
            </w:pPr>
            <w:r>
              <w:rPr>
                <w:rFonts w:hint="eastAsia" w:ascii="宋体" w:hAnsi="宋体" w:cs="Microsoft JhengHei"/>
                <w:b/>
                <w:bCs/>
                <w:color w:val="auto"/>
                <w:sz w:val="21"/>
                <w:szCs w:val="21"/>
                <w:highlight w:val="none"/>
              </w:rPr>
              <w:t>编列内容</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招标人</w:t>
            </w:r>
          </w:p>
        </w:tc>
        <w:tc>
          <w:tcPr>
            <w:tcW w:w="6729" w:type="dxa"/>
            <w:tcBorders>
              <w:top w:val="single" w:color="000000" w:sz="4" w:space="0"/>
              <w:left w:val="nil"/>
              <w:bottom w:val="single" w:color="000000" w:sz="4" w:space="0"/>
              <w:right w:val="single" w:color="000000" w:sz="4" w:space="0"/>
            </w:tcBorders>
          </w:tcPr>
          <w:p>
            <w:pPr>
              <w:pStyle w:val="26"/>
              <w:kinsoku w:val="0"/>
              <w:spacing w:line="400" w:lineRule="exact"/>
              <w:ind w:right="-105"/>
              <w:rPr>
                <w:rFonts w:ascii="宋体"/>
                <w:color w:val="auto"/>
                <w:sz w:val="21"/>
                <w:szCs w:val="21"/>
                <w:highlight w:val="none"/>
                <w:u w:val="single"/>
              </w:rPr>
            </w:pPr>
            <w:r>
              <w:rPr>
                <w:rFonts w:hint="eastAsia" w:ascii="宋体"/>
                <w:color w:val="auto"/>
                <w:sz w:val="21"/>
                <w:szCs w:val="21"/>
                <w:highlight w:val="none"/>
              </w:rPr>
              <w:t>名称：</w:t>
            </w:r>
            <w:r>
              <w:rPr>
                <w:rFonts w:hint="eastAsia" w:ascii="宋体" w:hAnsi="Calibri"/>
                <w:b/>
                <w:bCs/>
                <w:color w:val="auto"/>
                <w:sz w:val="21"/>
                <w:szCs w:val="21"/>
                <w:highlight w:val="none"/>
                <w:lang w:eastAsia="zh-CN"/>
              </w:rPr>
              <w:t>绍兴市越城区建设投资有限公司</w:t>
            </w:r>
            <w:r>
              <w:rPr>
                <w:rFonts w:hint="eastAsia" w:ascii="宋体" w:hAnsi="Calibri"/>
                <w:b/>
                <w:bCs/>
                <w:color w:val="auto"/>
                <w:sz w:val="21"/>
                <w:szCs w:val="21"/>
                <w:highlight w:val="none"/>
              </w:rPr>
              <w:t xml:space="preserve"> </w:t>
            </w:r>
          </w:p>
          <w:p>
            <w:pPr>
              <w:pStyle w:val="26"/>
              <w:kinsoku w:val="0"/>
              <w:spacing w:line="400" w:lineRule="exact"/>
              <w:ind w:right="-105"/>
              <w:rPr>
                <w:rFonts w:ascii="宋体"/>
                <w:color w:val="auto"/>
                <w:sz w:val="21"/>
                <w:szCs w:val="21"/>
                <w:highlight w:val="none"/>
              </w:rPr>
            </w:pPr>
            <w:r>
              <w:rPr>
                <w:rFonts w:hint="eastAsia" w:ascii="宋体"/>
                <w:color w:val="auto"/>
                <w:sz w:val="21"/>
                <w:szCs w:val="21"/>
                <w:highlight w:val="none"/>
              </w:rPr>
              <w:t>地址：</w:t>
            </w:r>
            <w:r>
              <w:rPr>
                <w:rFonts w:hint="eastAsia" w:ascii="宋体" w:hAnsi="Calibri"/>
                <w:b/>
                <w:bCs/>
                <w:color w:val="auto"/>
                <w:sz w:val="21"/>
                <w:szCs w:val="21"/>
                <w:highlight w:val="none"/>
                <w:lang w:eastAsia="zh-CN"/>
              </w:rPr>
              <w:t xml:space="preserve">绍兴市剡溪路488号越毅大厦    </w:t>
            </w:r>
          </w:p>
          <w:p>
            <w:pPr>
              <w:pStyle w:val="26"/>
              <w:kinsoku w:val="0"/>
              <w:spacing w:line="400" w:lineRule="exact"/>
              <w:ind w:right="3293"/>
              <w:rPr>
                <w:rFonts w:hint="eastAsia" w:ascii="宋体" w:hAnsi="Calibri" w:eastAsia="宋体"/>
                <w:b/>
                <w:bCs/>
                <w:color w:val="auto"/>
                <w:sz w:val="21"/>
                <w:szCs w:val="21"/>
                <w:highlight w:val="none"/>
                <w:lang w:eastAsia="zh-CN"/>
              </w:rPr>
            </w:pPr>
            <w:r>
              <w:rPr>
                <w:rFonts w:hint="eastAsia" w:ascii="宋体"/>
                <w:color w:val="auto"/>
                <w:sz w:val="21"/>
                <w:szCs w:val="21"/>
                <w:highlight w:val="none"/>
              </w:rPr>
              <w:t>联系人：</w:t>
            </w:r>
            <w:r>
              <w:rPr>
                <w:rFonts w:hint="eastAsia" w:ascii="宋体" w:hAnsi="Calibri"/>
                <w:b/>
                <w:bCs/>
                <w:color w:val="auto"/>
                <w:sz w:val="21"/>
                <w:szCs w:val="21"/>
                <w:highlight w:val="none"/>
                <w:lang w:eastAsia="zh-CN"/>
              </w:rPr>
              <w:t>陈工</w:t>
            </w:r>
          </w:p>
          <w:p>
            <w:pPr>
              <w:pStyle w:val="8"/>
              <w:rPr>
                <w:rFonts w:hint="default" w:ascii="宋体" w:hAnsi="Calibri" w:eastAsia="宋体"/>
                <w:b/>
                <w:bCs/>
                <w:color w:val="auto"/>
                <w:sz w:val="21"/>
                <w:szCs w:val="21"/>
                <w:highlight w:val="none"/>
                <w:lang w:val="en-US" w:eastAsia="zh-CN"/>
              </w:rPr>
            </w:pPr>
            <w:r>
              <w:rPr>
                <w:rFonts w:hint="eastAsia" w:ascii="宋体"/>
                <w:color w:val="auto"/>
                <w:sz w:val="21"/>
                <w:szCs w:val="21"/>
                <w:highlight w:val="none"/>
              </w:rPr>
              <w:t>电话：</w:t>
            </w:r>
            <w:r>
              <w:rPr>
                <w:rFonts w:hint="eastAsia" w:ascii="宋体"/>
                <w:color w:val="auto"/>
                <w:sz w:val="21"/>
                <w:szCs w:val="21"/>
                <w:highlight w:val="none"/>
                <w:lang w:val="en-US" w:eastAsia="zh-CN"/>
              </w:rPr>
              <w:t xml:space="preserve"> </w:t>
            </w:r>
            <w:r>
              <w:rPr>
                <w:rFonts w:hint="eastAsia"/>
                <w:highlight w:val="none"/>
                <w:lang w:val="en-US" w:eastAsia="zh-CN"/>
              </w:rPr>
              <w:t>0575-88613909</w:t>
            </w:r>
            <w:r>
              <w:rPr>
                <w:rFonts w:hint="eastAsia" w:ascii="宋体"/>
                <w:color w:val="auto"/>
                <w:sz w:val="21"/>
                <w:szCs w:val="21"/>
                <w:highlight w:val="none"/>
                <w:lang w:val="en-US" w:eastAsia="zh-CN"/>
              </w:rPr>
              <w:t xml:space="preserve"> </w:t>
            </w:r>
          </w:p>
          <w:p>
            <w:pPr>
              <w:pStyle w:val="26"/>
              <w:kinsoku w:val="0"/>
              <w:spacing w:line="400" w:lineRule="exact"/>
              <w:rPr>
                <w:color w:val="auto"/>
                <w:sz w:val="21"/>
                <w:szCs w:val="21"/>
                <w:highlight w:val="none"/>
              </w:rPr>
            </w:pPr>
            <w:r>
              <w:rPr>
                <w:rFonts w:hint="eastAsia"/>
                <w:color w:val="auto"/>
                <w:sz w:val="21"/>
                <w:szCs w:val="21"/>
                <w:highlight w:val="none"/>
              </w:rPr>
              <w:t>邮箱：/</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1.1.3</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招标代理机构</w:t>
            </w:r>
          </w:p>
        </w:tc>
        <w:tc>
          <w:tcPr>
            <w:tcW w:w="6729" w:type="dxa"/>
            <w:tcBorders>
              <w:top w:val="single" w:color="000000" w:sz="4" w:space="0"/>
              <w:left w:val="nil"/>
              <w:bottom w:val="single" w:color="000000" w:sz="4" w:space="0"/>
              <w:right w:val="single" w:color="000000" w:sz="4" w:space="0"/>
            </w:tcBorders>
          </w:tcPr>
          <w:p>
            <w:pPr>
              <w:pStyle w:val="26"/>
              <w:kinsoku w:val="0"/>
              <w:spacing w:line="400" w:lineRule="exact"/>
              <w:ind w:right="-105"/>
              <w:rPr>
                <w:rFonts w:hint="eastAsia" w:ascii="宋体" w:eastAsia="宋体"/>
                <w:color w:val="auto"/>
                <w:spacing w:val="-102"/>
                <w:sz w:val="21"/>
                <w:szCs w:val="21"/>
                <w:highlight w:val="none"/>
                <w:lang w:eastAsia="zh-CN"/>
              </w:rPr>
            </w:pPr>
            <w:r>
              <w:rPr>
                <w:rFonts w:hint="eastAsia" w:ascii="宋体"/>
                <w:color w:val="auto"/>
                <w:sz w:val="21"/>
                <w:szCs w:val="21"/>
                <w:highlight w:val="none"/>
              </w:rPr>
              <w:t>名称：</w:t>
            </w:r>
            <w:r>
              <w:rPr>
                <w:rFonts w:hint="eastAsia" w:ascii="宋体" w:hAnsi="Calibri"/>
                <w:b/>
                <w:bCs/>
                <w:color w:val="auto"/>
                <w:sz w:val="21"/>
                <w:szCs w:val="21"/>
                <w:highlight w:val="none"/>
                <w:lang w:eastAsia="zh-CN"/>
              </w:rPr>
              <w:t>中冠工程管理咨询有限公司</w:t>
            </w:r>
          </w:p>
          <w:p>
            <w:pPr>
              <w:widowControl/>
              <w:spacing w:line="400" w:lineRule="exact"/>
              <w:rPr>
                <w:rFonts w:ascii="宋体" w:hAnsi="Calibri"/>
                <w:b/>
                <w:bCs/>
                <w:color w:val="auto"/>
                <w:sz w:val="21"/>
                <w:szCs w:val="21"/>
                <w:highlight w:val="none"/>
              </w:rPr>
            </w:pPr>
            <w:r>
              <w:rPr>
                <w:rFonts w:hint="eastAsia" w:ascii="宋体"/>
                <w:color w:val="auto"/>
                <w:sz w:val="21"/>
                <w:szCs w:val="21"/>
                <w:highlight w:val="none"/>
              </w:rPr>
              <w:t>地址：</w:t>
            </w:r>
            <w:r>
              <w:rPr>
                <w:rFonts w:hint="eastAsia" w:ascii="宋体" w:hAnsi="Calibri" w:eastAsia="宋体" w:cs="Times New Roman"/>
                <w:b/>
                <w:bCs/>
                <w:color w:val="auto"/>
                <w:sz w:val="21"/>
                <w:szCs w:val="21"/>
                <w:highlight w:val="none"/>
                <w:lang w:val="en-US" w:eastAsia="zh-CN" w:bidi="ar-SA"/>
              </w:rPr>
              <w:t xml:space="preserve">玛格丽特商业中心西区1幢3楼  </w:t>
            </w:r>
          </w:p>
          <w:p>
            <w:pPr>
              <w:pStyle w:val="26"/>
              <w:kinsoku w:val="0"/>
              <w:spacing w:line="400" w:lineRule="exact"/>
              <w:ind w:right="3293"/>
              <w:rPr>
                <w:rFonts w:hint="eastAsia" w:ascii="宋体" w:eastAsia="宋体"/>
                <w:color w:val="auto"/>
                <w:sz w:val="21"/>
                <w:szCs w:val="21"/>
                <w:highlight w:val="none"/>
                <w:lang w:eastAsia="zh-CN"/>
              </w:rPr>
            </w:pPr>
            <w:r>
              <w:rPr>
                <w:rFonts w:hint="eastAsia" w:ascii="宋体"/>
                <w:color w:val="auto"/>
                <w:sz w:val="21"/>
                <w:szCs w:val="21"/>
                <w:highlight w:val="none"/>
              </w:rPr>
              <w:t>联系人：</w:t>
            </w:r>
            <w:r>
              <w:rPr>
                <w:rFonts w:hint="eastAsia" w:ascii="宋体" w:hAnsi="Calibri"/>
                <w:b/>
                <w:bCs/>
                <w:color w:val="auto"/>
                <w:sz w:val="21"/>
                <w:szCs w:val="21"/>
                <w:highlight w:val="none"/>
                <w:lang w:eastAsia="zh-CN"/>
              </w:rPr>
              <w:t>陈工</w:t>
            </w:r>
          </w:p>
          <w:p>
            <w:pPr>
              <w:pStyle w:val="26"/>
              <w:kinsoku w:val="0"/>
              <w:spacing w:line="400" w:lineRule="exact"/>
              <w:rPr>
                <w:rFonts w:hint="default" w:ascii="宋体" w:hAnsi="Calibri" w:eastAsia="宋体"/>
                <w:b/>
                <w:bCs/>
                <w:color w:val="auto"/>
                <w:sz w:val="21"/>
                <w:szCs w:val="21"/>
                <w:highlight w:val="none"/>
                <w:lang w:val="en-US" w:eastAsia="zh-CN"/>
              </w:rPr>
            </w:pPr>
            <w:r>
              <w:rPr>
                <w:rFonts w:hint="eastAsia" w:ascii="宋体"/>
                <w:color w:val="auto"/>
                <w:sz w:val="21"/>
                <w:szCs w:val="21"/>
                <w:highlight w:val="none"/>
              </w:rPr>
              <w:t>电话：</w:t>
            </w:r>
            <w:r>
              <w:rPr>
                <w:rFonts w:hint="eastAsia" w:ascii="宋体" w:hAnsi="Calibri"/>
                <w:b/>
                <w:bCs/>
                <w:color w:val="auto"/>
                <w:sz w:val="21"/>
                <w:szCs w:val="21"/>
                <w:highlight w:val="none"/>
                <w:lang w:val="en-US" w:eastAsia="zh-CN"/>
              </w:rPr>
              <w:t>13867575754</w:t>
            </w:r>
          </w:p>
          <w:p>
            <w:pPr>
              <w:pStyle w:val="26"/>
              <w:kinsoku w:val="0"/>
              <w:spacing w:line="400" w:lineRule="exact"/>
              <w:rPr>
                <w:color w:val="auto"/>
                <w:sz w:val="21"/>
                <w:szCs w:val="21"/>
                <w:highlight w:val="none"/>
              </w:rPr>
            </w:pPr>
            <w:r>
              <w:rPr>
                <w:rFonts w:hint="eastAsia" w:ascii="宋体"/>
                <w:color w:val="auto"/>
                <w:sz w:val="21"/>
                <w:szCs w:val="21"/>
                <w:highlight w:val="none"/>
              </w:rPr>
              <w:t>邮箱：</w:t>
            </w:r>
            <w:r>
              <w:rPr>
                <w:rFonts w:hint="eastAsia" w:ascii="宋体" w:hAnsi="Calibri"/>
                <w:b/>
                <w:bCs/>
                <w:color w:val="auto"/>
                <w:sz w:val="21"/>
                <w:szCs w:val="21"/>
                <w:highlight w:val="none"/>
                <w:lang w:val="en-US" w:eastAsia="zh-CN"/>
              </w:rPr>
              <w:t>740592615</w:t>
            </w:r>
            <w:r>
              <w:rPr>
                <w:rFonts w:hint="eastAsia" w:ascii="宋体" w:hAnsi="Calibri"/>
                <w:b/>
                <w:bCs/>
                <w:color w:val="auto"/>
                <w:sz w:val="21"/>
                <w:szCs w:val="21"/>
                <w:highlight w:val="none"/>
              </w:rPr>
              <w:t xml:space="preserve">@qq.com </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1.1.4</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工程名称</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hAnsi="Calibri"/>
                <w:b/>
                <w:bCs/>
                <w:color w:val="auto"/>
                <w:sz w:val="21"/>
                <w:szCs w:val="21"/>
                <w:highlight w:val="none"/>
              </w:rPr>
            </w:pPr>
            <w:r>
              <w:rPr>
                <w:rFonts w:hint="eastAsia" w:ascii="宋体" w:hAnsi="Calibri"/>
                <w:b/>
                <w:bCs/>
                <w:color w:val="auto"/>
                <w:sz w:val="21"/>
                <w:szCs w:val="21"/>
                <w:highlight w:val="none"/>
                <w:lang w:eastAsia="zh-CN"/>
              </w:rPr>
              <w:t>越城区鉴湖街道C-12地块城市有机更新工程</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1.1.5</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建设地点</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hAnsi="Calibri"/>
                <w:b/>
                <w:bCs/>
                <w:color w:val="auto"/>
                <w:sz w:val="21"/>
                <w:szCs w:val="21"/>
                <w:highlight w:val="none"/>
              </w:rPr>
            </w:pPr>
            <w:r>
              <w:rPr>
                <w:rFonts w:hint="eastAsia" w:ascii="宋体" w:hAnsi="宋体"/>
                <w:b/>
                <w:color w:val="auto"/>
                <w:sz w:val="21"/>
                <w:szCs w:val="21"/>
                <w:highlight w:val="none"/>
                <w:u w:val="none"/>
                <w:lang w:val="en-US" w:eastAsia="zh-CN"/>
              </w:rPr>
              <w:t>鉴湖街道栖凫村</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1.1.6</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工程承包方式</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hAnsi="Calibri"/>
                <w:b/>
                <w:bCs/>
                <w:color w:val="auto"/>
                <w:sz w:val="21"/>
                <w:szCs w:val="21"/>
                <w:highlight w:val="none"/>
              </w:rPr>
            </w:pPr>
            <w:r>
              <w:rPr>
                <w:rFonts w:hint="eastAsia" w:ascii="宋体" w:hAnsi="Calibri"/>
                <w:b/>
                <w:bCs/>
                <w:color w:val="auto"/>
                <w:sz w:val="21"/>
                <w:szCs w:val="21"/>
                <w:highlight w:val="none"/>
              </w:rPr>
              <w:t>包工包料</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1.2.1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资金来源及比例</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hAnsi="Calibri"/>
                <w:b/>
                <w:bCs/>
                <w:color w:val="auto"/>
                <w:sz w:val="21"/>
                <w:szCs w:val="21"/>
                <w:highlight w:val="none"/>
              </w:rPr>
            </w:pPr>
            <w:r>
              <w:rPr>
                <w:rFonts w:hint="eastAsia" w:ascii="宋体" w:hAnsi="宋体"/>
                <w:b/>
                <w:bCs/>
                <w:color w:val="auto"/>
                <w:sz w:val="21"/>
                <w:szCs w:val="21"/>
                <w:highlight w:val="none"/>
              </w:rPr>
              <w:t>自筹100%</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1.2.2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资金落实情况</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hAnsi="Calibri"/>
                <w:b/>
                <w:bCs/>
                <w:color w:val="auto"/>
                <w:sz w:val="21"/>
                <w:szCs w:val="21"/>
                <w:highlight w:val="none"/>
              </w:rPr>
            </w:pPr>
            <w:r>
              <w:rPr>
                <w:rFonts w:hint="eastAsia" w:ascii="宋体" w:hAnsi="宋体"/>
                <w:b/>
                <w:bCs/>
                <w:color w:val="auto"/>
                <w:sz w:val="21"/>
                <w:szCs w:val="21"/>
                <w:highlight w:val="none"/>
              </w:rPr>
              <w:t>已落实</w:t>
            </w:r>
          </w:p>
        </w:tc>
      </w:tr>
      <w:tr>
        <w:tblPrEx>
          <w:tblCellMar>
            <w:top w:w="0" w:type="dxa"/>
            <w:left w:w="57" w:type="dxa"/>
            <w:bottom w:w="0" w:type="dxa"/>
            <w:right w:w="57" w:type="dxa"/>
          </w:tblCellMar>
        </w:tblPrEx>
        <w:trPr>
          <w:trHeight w:val="882"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1.3.1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招标范围</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hint="default" w:ascii="宋体" w:hAnsi="Calibri" w:eastAsia="宋体"/>
                <w:b/>
                <w:bCs/>
                <w:color w:val="auto"/>
                <w:sz w:val="21"/>
                <w:szCs w:val="21"/>
                <w:highlight w:val="none"/>
                <w:lang w:val="en-US" w:eastAsia="zh-CN"/>
              </w:rPr>
            </w:pPr>
            <w:r>
              <w:rPr>
                <w:rFonts w:hint="eastAsia" w:ascii="宋体" w:hAnsi="宋体"/>
                <w:color w:val="auto"/>
                <w:szCs w:val="21"/>
                <w:highlight w:val="none"/>
              </w:rPr>
              <w:t>包括本工程施工图范围内</w:t>
            </w:r>
            <w:r>
              <w:rPr>
                <w:rFonts w:hint="eastAsia" w:ascii="宋体" w:hAnsi="宋体"/>
                <w:color w:val="auto"/>
                <w:szCs w:val="21"/>
                <w:highlight w:val="none"/>
                <w:lang w:val="en-US" w:eastAsia="zh-CN"/>
              </w:rPr>
              <w:t>主体土方工程、基坑支护工程、桩基工程、建筑结构工程、装饰装修工程、1#-11#及门廊的外立面石材幕墙、铝板幕墙、雨蓬及百叶格栅等幕墙工程、给排水工程、消防工程、暖通工程、强电工程、弱电工程、室外总体配套工程（景观绿化、道路广场、室外电气、室外给排水管网、雨水回用、围墙、大门等）</w:t>
            </w:r>
            <w:r>
              <w:rPr>
                <w:rFonts w:hint="eastAsia" w:ascii="宋体" w:hAnsi="宋体"/>
                <w:color w:val="auto"/>
                <w:szCs w:val="21"/>
                <w:highlight w:val="none"/>
              </w:rPr>
              <w:t>。具体内容详见施工图及标底</w:t>
            </w:r>
            <w:r>
              <w:rPr>
                <w:rFonts w:hint="eastAsia" w:ascii="宋体" w:hAnsi="宋体"/>
                <w:color w:val="auto"/>
                <w:szCs w:val="21"/>
                <w:highlight w:val="none"/>
                <w:lang w:eastAsia="zh-CN"/>
              </w:rPr>
              <w:t>。</w:t>
            </w:r>
            <w:r>
              <w:rPr>
                <w:rFonts w:hint="eastAsia" w:ascii="宋体" w:hAnsi="Calibri"/>
                <w:b/>
                <w:bCs/>
                <w:color w:val="auto"/>
                <w:sz w:val="21"/>
                <w:szCs w:val="21"/>
                <w:highlight w:val="none"/>
                <w:lang w:val="en-US" w:eastAsia="zh-CN"/>
              </w:rPr>
              <w:t xml:space="preserve">  </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1.3.2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计划工期要求</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color w:val="auto"/>
                <w:sz w:val="21"/>
                <w:szCs w:val="21"/>
                <w:highlight w:val="none"/>
                <w:u w:val="single"/>
              </w:rPr>
            </w:pPr>
            <w:r>
              <w:rPr>
                <w:rFonts w:hint="eastAsia" w:ascii="宋体" w:hAnsi="宋体"/>
                <w:color w:val="auto"/>
                <w:sz w:val="21"/>
                <w:szCs w:val="21"/>
                <w:highlight w:val="none"/>
              </w:rPr>
              <w:t>计划工期：</w:t>
            </w:r>
            <w:bookmarkStart w:id="80" w:name="EBd5e045ff72cb4e3488139d06b9fb7602"/>
            <w:bookmarkEnd w:id="80"/>
            <w:r>
              <w:rPr>
                <w:rFonts w:hint="eastAsia" w:ascii="宋体" w:hAnsi="宋体"/>
                <w:color w:val="auto"/>
                <w:sz w:val="21"/>
                <w:szCs w:val="21"/>
                <w:highlight w:val="none"/>
                <w:u w:val="single"/>
                <w:lang w:val="en-US" w:eastAsia="zh-CN"/>
              </w:rPr>
              <w:t>900</w:t>
            </w:r>
            <w:r>
              <w:rPr>
                <w:rFonts w:hint="eastAsia" w:ascii="宋体" w:hAnsi="Calibri"/>
                <w:b/>
                <w:bCs/>
                <w:color w:val="auto"/>
                <w:sz w:val="21"/>
                <w:szCs w:val="21"/>
                <w:highlight w:val="none"/>
                <w:u w:val="single"/>
              </w:rPr>
              <w:t xml:space="preserve">日历天 </w:t>
            </w:r>
            <w:r>
              <w:rPr>
                <w:rFonts w:hint="eastAsia" w:ascii="宋体" w:hAnsi="宋体"/>
                <w:color w:val="auto"/>
                <w:sz w:val="21"/>
                <w:szCs w:val="21"/>
                <w:highlight w:val="none"/>
              </w:rPr>
              <w:t>。投标承诺工期不得超过该计划工期。</w:t>
            </w:r>
          </w:p>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计划开工日期：</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计划竣工日期：</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p>
          <w:p>
            <w:pPr>
              <w:spacing w:line="400" w:lineRule="exact"/>
              <w:jc w:val="both"/>
              <w:rPr>
                <w:color w:val="auto"/>
                <w:sz w:val="21"/>
                <w:szCs w:val="21"/>
                <w:highlight w:val="none"/>
              </w:rPr>
            </w:pPr>
            <w:r>
              <w:rPr>
                <w:rFonts w:hint="eastAsia" w:ascii="宋体" w:hAnsi="宋体"/>
                <w:color w:val="auto"/>
                <w:sz w:val="21"/>
                <w:szCs w:val="21"/>
                <w:highlight w:val="none"/>
              </w:rPr>
              <w:t>□</w:t>
            </w:r>
            <w:r>
              <w:rPr>
                <w:rFonts w:hint="eastAsia"/>
                <w:color w:val="auto"/>
                <w:sz w:val="21"/>
                <w:szCs w:val="21"/>
                <w:highlight w:val="none"/>
              </w:rPr>
              <w:t>本工程定额施工工期：</w:t>
            </w:r>
            <w:r>
              <w:rPr>
                <w:rFonts w:hint="eastAsia"/>
                <w:color w:val="auto"/>
                <w:sz w:val="21"/>
                <w:szCs w:val="21"/>
                <w:highlight w:val="none"/>
                <w:u w:val="single"/>
              </w:rPr>
              <w:t xml:space="preserve"> / </w:t>
            </w:r>
            <w:r>
              <w:rPr>
                <w:rFonts w:hint="eastAsia" w:ascii="宋体" w:hAnsi="宋体"/>
                <w:color w:val="auto"/>
                <w:sz w:val="21"/>
                <w:szCs w:val="21"/>
                <w:highlight w:val="none"/>
              </w:rPr>
              <w:t>日历天</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auto"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1.3.3</w:t>
            </w:r>
          </w:p>
        </w:tc>
        <w:tc>
          <w:tcPr>
            <w:tcW w:w="1826" w:type="dxa"/>
            <w:tcBorders>
              <w:top w:val="single" w:color="000000" w:sz="4" w:space="0"/>
              <w:left w:val="nil"/>
              <w:bottom w:val="single" w:color="auto"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质量要求</w:t>
            </w:r>
          </w:p>
        </w:tc>
        <w:tc>
          <w:tcPr>
            <w:tcW w:w="6729" w:type="dxa"/>
            <w:tcBorders>
              <w:top w:val="single" w:color="000000" w:sz="4" w:space="0"/>
              <w:left w:val="nil"/>
              <w:bottom w:val="single" w:color="auto" w:sz="4" w:space="0"/>
              <w:right w:val="single" w:color="000000" w:sz="4" w:space="0"/>
            </w:tcBorders>
            <w:vAlign w:val="center"/>
          </w:tcPr>
          <w:p>
            <w:pPr>
              <w:spacing w:line="400" w:lineRule="exact"/>
              <w:jc w:val="both"/>
              <w:rPr>
                <w:rFonts w:hint="eastAsia" w:eastAsia="新宋体"/>
                <w:color w:val="auto"/>
                <w:sz w:val="21"/>
                <w:szCs w:val="21"/>
                <w:highlight w:val="none"/>
                <w:lang w:val="en-US" w:eastAsia="zh-CN"/>
              </w:rPr>
            </w:pPr>
            <w:r>
              <w:rPr>
                <w:rFonts w:hint="eastAsia" w:ascii="新宋体" w:hAnsi="新宋体" w:eastAsia="新宋体"/>
                <w:color w:val="auto"/>
                <w:sz w:val="21"/>
                <w:szCs w:val="21"/>
                <w:highlight w:val="none"/>
              </w:rPr>
              <w:t>符合现行国家有关工程施工验收规范和标准的</w:t>
            </w:r>
            <w:r>
              <w:rPr>
                <w:rFonts w:hint="eastAsia" w:ascii="新宋体" w:hAnsi="新宋体" w:eastAsia="新宋体"/>
                <w:color w:val="auto"/>
                <w:sz w:val="21"/>
                <w:szCs w:val="21"/>
                <w:highlight w:val="none"/>
                <w:u w:val="single"/>
              </w:rPr>
              <w:t xml:space="preserve">  </w:t>
            </w:r>
            <w:r>
              <w:rPr>
                <w:rFonts w:hint="eastAsia" w:ascii="宋体" w:hAnsi="宋体" w:cs="宋体"/>
                <w:b/>
                <w:color w:val="auto"/>
                <w:sz w:val="21"/>
                <w:szCs w:val="21"/>
                <w:highlight w:val="none"/>
                <w:u w:val="single"/>
              </w:rPr>
              <w:t>合格</w:t>
            </w:r>
            <w:r>
              <w:rPr>
                <w:rFonts w:hint="eastAsia" w:ascii="新宋体" w:hAnsi="新宋体" w:eastAsia="新宋体"/>
                <w:color w:val="auto"/>
                <w:sz w:val="21"/>
                <w:szCs w:val="21"/>
                <w:highlight w:val="none"/>
                <w:u w:val="single"/>
              </w:rPr>
              <w:t xml:space="preserve"> </w:t>
            </w:r>
            <w:r>
              <w:rPr>
                <w:rFonts w:hint="eastAsia" w:ascii="新宋体" w:hAnsi="新宋体" w:eastAsia="新宋体"/>
                <w:color w:val="auto"/>
                <w:sz w:val="21"/>
                <w:szCs w:val="21"/>
                <w:highlight w:val="none"/>
              </w:rPr>
              <w:t>要求</w:t>
            </w:r>
            <w:r>
              <w:rPr>
                <w:rFonts w:hint="eastAsia" w:ascii="Calibri" w:hAnsi="宋体"/>
                <w:color w:val="auto"/>
                <w:kern w:val="2"/>
                <w:sz w:val="21"/>
                <w:szCs w:val="21"/>
                <w:highlight w:val="none"/>
              </w:rPr>
              <w:t>。</w:t>
            </w:r>
          </w:p>
        </w:tc>
      </w:tr>
      <w:tr>
        <w:tblPrEx>
          <w:tblCellMar>
            <w:top w:w="0" w:type="dxa"/>
            <w:left w:w="57" w:type="dxa"/>
            <w:bottom w:w="0" w:type="dxa"/>
            <w:right w:w="57" w:type="dxa"/>
          </w:tblCellMar>
        </w:tblPrEx>
        <w:tc>
          <w:tcPr>
            <w:tcW w:w="1173" w:type="dxa"/>
            <w:tcBorders>
              <w:top w:val="single" w:color="auto" w:sz="4" w:space="0"/>
              <w:left w:val="single" w:color="000000" w:sz="4" w:space="0"/>
              <w:bottom w:val="single" w:color="auto"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1.4.1</w:t>
            </w:r>
          </w:p>
        </w:tc>
        <w:tc>
          <w:tcPr>
            <w:tcW w:w="1826" w:type="dxa"/>
            <w:tcBorders>
              <w:top w:val="single" w:color="auto" w:sz="4" w:space="0"/>
              <w:left w:val="nil"/>
              <w:bottom w:val="single" w:color="auto"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投标人资格</w:t>
            </w:r>
          </w:p>
          <w:p>
            <w:pPr>
              <w:pStyle w:val="26"/>
              <w:kinsoku w:val="0"/>
              <w:spacing w:line="400" w:lineRule="exact"/>
              <w:jc w:val="center"/>
              <w:rPr>
                <w:color w:val="auto"/>
                <w:sz w:val="21"/>
                <w:szCs w:val="21"/>
                <w:highlight w:val="none"/>
              </w:rPr>
            </w:pPr>
            <w:r>
              <w:rPr>
                <w:rFonts w:hint="eastAsia" w:ascii="宋体"/>
                <w:color w:val="auto"/>
                <w:sz w:val="21"/>
                <w:szCs w:val="21"/>
                <w:highlight w:val="none"/>
              </w:rPr>
              <w:t>及要求</w:t>
            </w:r>
          </w:p>
        </w:tc>
        <w:tc>
          <w:tcPr>
            <w:tcW w:w="6729" w:type="dxa"/>
            <w:tcBorders>
              <w:top w:val="single" w:color="auto" w:sz="4" w:space="0"/>
              <w:left w:val="nil"/>
              <w:bottom w:val="single" w:color="auto" w:sz="4" w:space="0"/>
              <w:right w:val="single" w:color="000000" w:sz="4" w:space="0"/>
            </w:tcBorders>
            <w:vAlign w:val="center"/>
          </w:tcPr>
          <w:p>
            <w:pPr>
              <w:pStyle w:val="26"/>
              <w:kinsoku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w:t>
            </w:r>
            <w:r>
              <w:rPr>
                <w:rFonts w:hint="eastAsia" w:ascii="宋体"/>
                <w:color w:val="auto"/>
                <w:sz w:val="21"/>
                <w:szCs w:val="21"/>
                <w:highlight w:val="none"/>
              </w:rPr>
              <w:t>见招标公告</w:t>
            </w:r>
          </w:p>
          <w:p>
            <w:pPr>
              <w:pStyle w:val="26"/>
              <w:kinsoku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□见</w:t>
            </w:r>
            <w:r>
              <w:rPr>
                <w:rFonts w:hint="eastAsia" w:ascii="宋体"/>
                <w:color w:val="auto"/>
                <w:sz w:val="21"/>
                <w:szCs w:val="21"/>
                <w:highlight w:val="none"/>
              </w:rPr>
              <w:t>投标邀请书</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1.4.2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是否接受联合体投标</w:t>
            </w:r>
          </w:p>
        </w:tc>
        <w:tc>
          <w:tcPr>
            <w:tcW w:w="6729" w:type="dxa"/>
            <w:tcBorders>
              <w:top w:val="single" w:color="000000" w:sz="4" w:space="0"/>
              <w:left w:val="nil"/>
              <w:bottom w:val="single" w:color="000000" w:sz="4" w:space="0"/>
              <w:right w:val="single" w:color="000000" w:sz="4" w:space="0"/>
            </w:tcBorders>
            <w:vAlign w:val="center"/>
          </w:tcPr>
          <w:p>
            <w:pPr>
              <w:pStyle w:val="9"/>
              <w:topLinePunct/>
              <w:snapToGrid w:val="0"/>
              <w:spacing w:before="0" w:beforeAutospacing="0" w:after="0" w:line="400" w:lineRule="exact"/>
              <w:rPr>
                <w:rFonts w:ascii="Calibri" w:hAnsi="宋体"/>
                <w:color w:val="auto"/>
                <w:kern w:val="2"/>
                <w:sz w:val="21"/>
                <w:szCs w:val="21"/>
                <w:highlight w:val="none"/>
              </w:rPr>
            </w:pPr>
            <w:r>
              <w:rPr>
                <w:rFonts w:hint="eastAsia" w:ascii="宋体" w:hAnsi="宋体"/>
                <w:color w:val="auto"/>
                <w:sz w:val="21"/>
                <w:szCs w:val="21"/>
                <w:highlight w:val="none"/>
              </w:rPr>
              <w:t>□</w:t>
            </w:r>
            <w:r>
              <w:rPr>
                <w:rFonts w:ascii="Calibri" w:hAnsi="宋体"/>
                <w:color w:val="auto"/>
                <w:kern w:val="2"/>
                <w:sz w:val="21"/>
                <w:szCs w:val="21"/>
                <w:highlight w:val="none"/>
              </w:rPr>
              <w:t>不接受</w:t>
            </w:r>
            <w:r>
              <w:rPr>
                <w:rFonts w:hint="eastAsia" w:ascii="Calibri" w:hAnsi="宋体"/>
                <w:color w:val="auto"/>
                <w:kern w:val="2"/>
                <w:sz w:val="21"/>
                <w:szCs w:val="21"/>
                <w:highlight w:val="none"/>
              </w:rPr>
              <w:t>。</w:t>
            </w:r>
          </w:p>
          <w:p>
            <w:pPr>
              <w:pStyle w:val="26"/>
              <w:kinsoku w:val="0"/>
              <w:snapToGrid w:val="0"/>
              <w:spacing w:line="400" w:lineRule="exact"/>
              <w:jc w:val="both"/>
              <w:rPr>
                <w:color w:val="auto"/>
                <w:sz w:val="21"/>
                <w:szCs w:val="21"/>
                <w:highlight w:val="none"/>
                <w:u w:val="single"/>
              </w:rPr>
            </w:pPr>
            <w:r>
              <w:rPr>
                <w:rFonts w:hint="eastAsia" w:ascii="宋体" w:hAnsi="宋体"/>
                <w:color w:val="auto"/>
                <w:sz w:val="21"/>
                <w:szCs w:val="21"/>
                <w:highlight w:val="none"/>
              </w:rPr>
              <w:t>☑接受。应满足下列要求：</w:t>
            </w:r>
            <w:r>
              <w:rPr>
                <w:rFonts w:hint="eastAsia" w:ascii="宋体"/>
                <w:color w:val="auto"/>
                <w:sz w:val="21"/>
                <w:szCs w:val="21"/>
                <w:highlight w:val="none"/>
              </w:rPr>
              <w:t>见</w:t>
            </w:r>
            <w:r>
              <w:rPr>
                <w:rFonts w:hint="eastAsia" w:ascii="宋体" w:hAnsi="宋体"/>
                <w:color w:val="auto"/>
                <w:sz w:val="21"/>
                <w:szCs w:val="21"/>
                <w:highlight w:val="none"/>
              </w:rPr>
              <w:t>☑</w:t>
            </w:r>
            <w:r>
              <w:rPr>
                <w:rFonts w:hint="eastAsia" w:ascii="宋体"/>
                <w:color w:val="auto"/>
                <w:sz w:val="21"/>
                <w:szCs w:val="21"/>
                <w:highlight w:val="none"/>
              </w:rPr>
              <w:t>招标公告</w:t>
            </w:r>
            <w:r>
              <w:rPr>
                <w:rFonts w:hint="eastAsia" w:ascii="宋体" w:hAnsi="宋体"/>
                <w:color w:val="auto"/>
                <w:sz w:val="21"/>
                <w:szCs w:val="21"/>
                <w:highlight w:val="none"/>
              </w:rPr>
              <w:t>□</w:t>
            </w:r>
            <w:r>
              <w:rPr>
                <w:rFonts w:hint="eastAsia" w:ascii="宋体"/>
                <w:color w:val="auto"/>
                <w:sz w:val="21"/>
                <w:szCs w:val="21"/>
                <w:highlight w:val="none"/>
              </w:rPr>
              <w:t>投标邀请书及投标人须知相应条款内容要求。</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1.4.3</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资格审查方式</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color w:val="auto"/>
                <w:sz w:val="21"/>
                <w:szCs w:val="21"/>
                <w:highlight w:val="none"/>
              </w:rPr>
            </w:pPr>
            <w:r>
              <w:rPr>
                <w:rFonts w:hint="eastAsia" w:ascii="宋体"/>
                <w:color w:val="auto"/>
                <w:sz w:val="21"/>
                <w:szCs w:val="21"/>
                <w:highlight w:val="none"/>
              </w:rPr>
              <w:t>采用资格后审</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1.9.1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踏勘现场</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color w:val="auto"/>
                <w:sz w:val="21"/>
                <w:szCs w:val="21"/>
                <w:highlight w:val="none"/>
              </w:rPr>
            </w:pPr>
            <w:r>
              <w:rPr>
                <w:rFonts w:hint="eastAsia" w:ascii="宋体" w:hAnsi="宋体"/>
                <w:color w:val="auto"/>
                <w:sz w:val="21"/>
                <w:szCs w:val="21"/>
                <w:highlight w:val="none"/>
              </w:rPr>
              <w:t>☑</w:t>
            </w:r>
            <w:r>
              <w:rPr>
                <w:rFonts w:hint="eastAsia" w:ascii="宋体"/>
                <w:color w:val="auto"/>
                <w:sz w:val="21"/>
                <w:szCs w:val="21"/>
                <w:highlight w:val="none"/>
              </w:rPr>
              <w:t>投标人自行踏勘。</w:t>
            </w:r>
          </w:p>
          <w:p>
            <w:pPr>
              <w:pStyle w:val="26"/>
              <w:kinsoku w:val="0"/>
              <w:spacing w:line="400" w:lineRule="exact"/>
              <w:jc w:val="both"/>
              <w:rPr>
                <w:rFonts w:ascii="宋体"/>
                <w:color w:val="auto"/>
                <w:sz w:val="21"/>
                <w:szCs w:val="21"/>
                <w:highlight w:val="none"/>
                <w:u w:val="single"/>
              </w:rPr>
            </w:pPr>
            <w:r>
              <w:rPr>
                <w:rFonts w:hint="eastAsia" w:ascii="宋体" w:hAnsi="宋体"/>
                <w:color w:val="auto"/>
                <w:sz w:val="21"/>
                <w:szCs w:val="21"/>
                <w:highlight w:val="none"/>
              </w:rPr>
              <w:t>□由招标人组织，时间和地点：</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，联系人和联系电话：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1.10.1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投标预备会</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both"/>
              <w:rPr>
                <w:rFonts w:ascii="宋体"/>
                <w:color w:val="auto"/>
                <w:sz w:val="21"/>
                <w:szCs w:val="21"/>
                <w:highlight w:val="none"/>
              </w:rPr>
            </w:pPr>
            <w:r>
              <w:rPr>
                <w:rFonts w:hint="eastAsia" w:ascii="宋体" w:hAnsi="宋体"/>
                <w:color w:val="auto"/>
                <w:sz w:val="21"/>
                <w:szCs w:val="21"/>
                <w:highlight w:val="none"/>
              </w:rPr>
              <w:t>☑不召开</w:t>
            </w:r>
          </w:p>
          <w:p>
            <w:pPr>
              <w:pStyle w:val="26"/>
              <w:kinsoku w:val="0"/>
              <w:spacing w:line="400" w:lineRule="exact"/>
              <w:jc w:val="both"/>
              <w:rPr>
                <w:rFonts w:ascii="宋体"/>
                <w:color w:val="auto"/>
                <w:sz w:val="21"/>
                <w:szCs w:val="21"/>
                <w:highlight w:val="none"/>
              </w:rPr>
            </w:pPr>
            <w:r>
              <w:rPr>
                <w:rFonts w:hint="eastAsia" w:ascii="宋体" w:hAnsi="宋体"/>
                <w:color w:val="auto"/>
                <w:sz w:val="21"/>
                <w:szCs w:val="21"/>
                <w:highlight w:val="none"/>
              </w:rPr>
              <w:t>□召开，召开时间：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26"/>
              <w:kinsoku w:val="0"/>
              <w:spacing w:line="400" w:lineRule="exact"/>
              <w:jc w:val="both"/>
              <w:rPr>
                <w:color w:val="auto"/>
                <w:kern w:val="2"/>
                <w:sz w:val="21"/>
                <w:szCs w:val="21"/>
                <w:highlight w:val="none"/>
              </w:rPr>
            </w:pPr>
            <w:r>
              <w:rPr>
                <w:rFonts w:hint="eastAsia" w:ascii="宋体"/>
                <w:color w:val="auto"/>
                <w:sz w:val="21"/>
                <w:szCs w:val="21"/>
                <w:highlight w:val="none"/>
              </w:rPr>
              <w:t>召开地点：</w:t>
            </w:r>
            <w:r>
              <w:rPr>
                <w:rFonts w:hint="eastAsia" w:ascii="宋体"/>
                <w:color w:val="auto"/>
                <w:sz w:val="21"/>
                <w:szCs w:val="21"/>
                <w:highlight w:val="none"/>
                <w:u w:val="single"/>
              </w:rPr>
              <w:t xml:space="preserve">                          </w:t>
            </w:r>
            <w:r>
              <w:rPr>
                <w:rFonts w:hint="eastAsia" w:ascii="宋体"/>
                <w:color w:val="auto"/>
                <w:sz w:val="21"/>
                <w:szCs w:val="21"/>
                <w:highlight w:val="none"/>
              </w:rPr>
              <w:t>。</w:t>
            </w:r>
          </w:p>
        </w:tc>
      </w:tr>
      <w:tr>
        <w:tblPrEx>
          <w:tblCellMar>
            <w:top w:w="0" w:type="dxa"/>
            <w:left w:w="57" w:type="dxa"/>
            <w:bottom w:w="0" w:type="dxa"/>
            <w:right w:w="57" w:type="dxa"/>
          </w:tblCellMar>
        </w:tblPrEx>
        <w:trPr>
          <w:trHeight w:val="1569"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1.11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招标工程是否允许分包</w:t>
            </w:r>
          </w:p>
        </w:tc>
        <w:tc>
          <w:tcPr>
            <w:tcW w:w="6729" w:type="dxa"/>
            <w:tcBorders>
              <w:top w:val="single" w:color="000000" w:sz="4" w:space="0"/>
              <w:left w:val="nil"/>
              <w:bottom w:val="single" w:color="000000" w:sz="4" w:space="0"/>
              <w:right w:val="single" w:color="000000" w:sz="4" w:space="0"/>
            </w:tcBorders>
            <w:vAlign w:val="center"/>
          </w:tcPr>
          <w:p>
            <w:pPr>
              <w:pStyle w:val="26"/>
              <w:kinsoku w:val="0"/>
              <w:spacing w:line="400" w:lineRule="exact"/>
              <w:rPr>
                <w:rFonts w:ascii="宋体"/>
                <w:color w:val="auto"/>
                <w:sz w:val="21"/>
                <w:szCs w:val="21"/>
                <w:highlight w:val="none"/>
              </w:rPr>
            </w:pPr>
            <w:r>
              <w:rPr>
                <w:rFonts w:hint="eastAsia" w:ascii="宋体" w:hAnsi="宋体"/>
                <w:color w:val="auto"/>
                <w:sz w:val="21"/>
                <w:szCs w:val="21"/>
                <w:highlight w:val="none"/>
              </w:rPr>
              <w:t>□不允许</w:t>
            </w:r>
          </w:p>
          <w:p>
            <w:pPr>
              <w:pStyle w:val="26"/>
              <w:kinsoku w:val="0"/>
              <w:spacing w:line="400" w:lineRule="exact"/>
              <w:rPr>
                <w:rFonts w:ascii="宋体" w:hAnsi="宋体"/>
                <w:color w:val="auto"/>
                <w:sz w:val="21"/>
                <w:szCs w:val="21"/>
                <w:highlight w:val="none"/>
                <w:u w:val="single"/>
              </w:rPr>
            </w:pPr>
            <w:r>
              <w:rPr>
                <w:rFonts w:hint="eastAsia" w:ascii="宋体" w:hAnsi="宋体"/>
                <w:color w:val="auto"/>
                <w:sz w:val="21"/>
                <w:szCs w:val="21"/>
                <w:highlight w:val="none"/>
              </w:rPr>
              <w:t>☑允许。专项工程分包的工程内容</w:t>
            </w:r>
            <w:r>
              <w:rPr>
                <w:rFonts w:hint="eastAsia" w:ascii="宋体" w:hAnsi="宋体"/>
                <w:color w:val="auto"/>
                <w:sz w:val="21"/>
                <w:szCs w:val="21"/>
                <w:highlight w:val="none"/>
                <w:u w:val="single"/>
              </w:rPr>
              <w:t>：</w:t>
            </w:r>
            <w:r>
              <w:rPr>
                <w:rFonts w:hint="eastAsia" w:ascii="宋体" w:hAnsi="宋体" w:cs="宋体"/>
                <w:color w:val="auto"/>
                <w:sz w:val="21"/>
                <w:szCs w:val="21"/>
                <w:highlight w:val="none"/>
                <w:u w:val="single"/>
              </w:rPr>
              <w:t>非主体结构、非关键工作承包人可以根据自身实际按照《房屋建筑和市政基础设施工程施工分包管理办法》（建设部令124号）的要求选择分包人，但发包人不支付专业发包工程管理费</w:t>
            </w:r>
            <w:r>
              <w:rPr>
                <w:rFonts w:hint="eastAsia" w:ascii="宋体" w:hAnsi="宋体"/>
                <w:color w:val="auto"/>
                <w:sz w:val="21"/>
                <w:szCs w:val="21"/>
                <w:highlight w:val="none"/>
                <w:u w:val="single"/>
              </w:rPr>
              <w:t>。</w:t>
            </w:r>
          </w:p>
          <w:p>
            <w:pPr>
              <w:pStyle w:val="26"/>
              <w:kinsoku w:val="0"/>
              <w:spacing w:line="4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分包金额要求：/</w:t>
            </w:r>
          </w:p>
          <w:p>
            <w:pPr>
              <w:pStyle w:val="26"/>
              <w:kinsoku w:val="0"/>
              <w:spacing w:line="400" w:lineRule="exact"/>
              <w:ind w:firstLine="420" w:firstLineChars="200"/>
              <w:rPr>
                <w:rFonts w:ascii="宋体"/>
                <w:color w:val="auto"/>
                <w:sz w:val="21"/>
                <w:szCs w:val="21"/>
                <w:highlight w:val="none"/>
              </w:rPr>
            </w:pPr>
            <w:r>
              <w:rPr>
                <w:rFonts w:hint="eastAsia" w:ascii="宋体" w:hAnsi="宋体"/>
                <w:color w:val="auto"/>
                <w:sz w:val="21"/>
                <w:szCs w:val="21"/>
                <w:highlight w:val="none"/>
              </w:rPr>
              <w:t>上述专项工程的分包的特殊约定：上述专业分项工程在施工前须上报相关拟分包单位或施工班组，经发包人委托的监理单位对拟选择的专项工程分包人考察合格(在项目施工中的整体配合度、工程进度、质量、安全管理控情况优秀) 同意后，方可签订专业分项工程分包协议、进场施工；承包人经考察评定不合格或提供的专业分项工程单位未能满足发包人要求的，发包人有权要求重新组织单位选择，且不得影响工期</w:t>
            </w:r>
            <w:r>
              <w:rPr>
                <w:rFonts w:hint="eastAsia" w:ascii="宋体"/>
                <w:color w:val="auto"/>
                <w:sz w:val="21"/>
                <w:szCs w:val="21"/>
                <w:highlight w:val="none"/>
              </w:rPr>
              <w:t>。</w:t>
            </w:r>
          </w:p>
        </w:tc>
      </w:tr>
      <w:tr>
        <w:tblPrEx>
          <w:tblCellMar>
            <w:top w:w="0" w:type="dxa"/>
            <w:left w:w="57" w:type="dxa"/>
            <w:bottom w:w="0" w:type="dxa"/>
            <w:right w:w="57" w:type="dxa"/>
          </w:tblCellMar>
        </w:tblPrEx>
        <w:trPr>
          <w:trHeight w:val="851"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1.12.1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eastAsia="Times New Roman"/>
                <w:color w:val="auto"/>
                <w:sz w:val="21"/>
                <w:szCs w:val="21"/>
                <w:highlight w:val="none"/>
              </w:rPr>
            </w:pPr>
            <w:r>
              <w:rPr>
                <w:rFonts w:hint="eastAsia" w:ascii="宋体"/>
                <w:color w:val="auto"/>
                <w:sz w:val="21"/>
                <w:szCs w:val="21"/>
                <w:highlight w:val="none"/>
              </w:rPr>
              <w:t>实质性要求和条件</w:t>
            </w:r>
          </w:p>
        </w:tc>
        <w:tc>
          <w:tcPr>
            <w:tcW w:w="6729" w:type="dxa"/>
            <w:tcBorders>
              <w:top w:val="single" w:color="000000" w:sz="4" w:space="0"/>
              <w:left w:val="nil"/>
              <w:bottom w:val="single" w:color="000000" w:sz="4" w:space="0"/>
              <w:right w:val="single" w:color="000000" w:sz="4" w:space="0"/>
            </w:tcBorders>
          </w:tcPr>
          <w:p>
            <w:pPr>
              <w:pStyle w:val="26"/>
              <w:kinsoku w:val="0"/>
              <w:spacing w:line="400" w:lineRule="exact"/>
              <w:rPr>
                <w:rFonts w:ascii="宋体"/>
                <w:color w:val="auto"/>
                <w:sz w:val="21"/>
                <w:szCs w:val="21"/>
                <w:highlight w:val="none"/>
              </w:rPr>
            </w:pPr>
            <w:r>
              <w:rPr>
                <w:rFonts w:hint="eastAsia" w:ascii="宋体"/>
                <w:color w:val="auto"/>
                <w:sz w:val="21"/>
                <w:szCs w:val="21"/>
                <w:highlight w:val="none"/>
              </w:rPr>
              <w:t>详见招标公告或者投标邀请书</w:t>
            </w:r>
          </w:p>
          <w:p>
            <w:pPr>
              <w:pStyle w:val="26"/>
              <w:kinsoku w:val="0"/>
              <w:spacing w:line="400" w:lineRule="exact"/>
              <w:rPr>
                <w:rFonts w:ascii="宋体"/>
                <w:color w:val="auto"/>
                <w:spacing w:val="-103"/>
                <w:sz w:val="21"/>
                <w:szCs w:val="21"/>
                <w:highlight w:val="none"/>
                <w:u w:val="single"/>
              </w:rPr>
            </w:pPr>
            <w:r>
              <w:rPr>
                <w:rFonts w:hint="eastAsia" w:ascii="宋体"/>
                <w:color w:val="auto"/>
                <w:sz w:val="21"/>
                <w:szCs w:val="21"/>
                <w:highlight w:val="none"/>
              </w:rPr>
              <w:t>其他要求：</w:t>
            </w:r>
            <w:r>
              <w:rPr>
                <w:rFonts w:hint="eastAsia" w:ascii="宋体"/>
                <w:color w:val="auto"/>
                <w:sz w:val="21"/>
                <w:szCs w:val="21"/>
                <w:highlight w:val="none"/>
                <w:u w:val="single"/>
              </w:rPr>
              <w:t xml:space="preserve">              /                  </w:t>
            </w:r>
            <w:r>
              <w:rPr>
                <w:rFonts w:hint="eastAsia" w:ascii="宋体"/>
                <w:color w:val="auto"/>
                <w:sz w:val="21"/>
                <w:szCs w:val="21"/>
                <w:highlight w:val="none"/>
              </w:rPr>
              <w:t>。</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1.12.2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偏差</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400" w:lineRule="exact"/>
              <w:jc w:val="both"/>
              <w:rPr>
                <w:rFonts w:ascii="宋体"/>
                <w:color w:val="auto"/>
                <w:sz w:val="21"/>
                <w:szCs w:val="21"/>
                <w:highlight w:val="none"/>
              </w:rPr>
            </w:pPr>
            <w:r>
              <w:rPr>
                <w:rFonts w:hint="eastAsia" w:ascii="宋体" w:hAnsi="宋体"/>
                <w:color w:val="auto"/>
                <w:sz w:val="21"/>
                <w:szCs w:val="21"/>
                <w:highlight w:val="none"/>
              </w:rPr>
              <w:t>☑不允许</w:t>
            </w:r>
          </w:p>
          <w:p>
            <w:pPr>
              <w:pStyle w:val="26"/>
              <w:kinsoku w:val="0"/>
              <w:snapToGrid w:val="0"/>
              <w:spacing w:line="400" w:lineRule="exact"/>
              <w:jc w:val="both"/>
              <w:rPr>
                <w:rFonts w:ascii="宋体" w:hAnsi="宋体"/>
                <w:color w:val="auto"/>
                <w:sz w:val="21"/>
                <w:szCs w:val="21"/>
                <w:highlight w:val="none"/>
                <w:u w:val="single"/>
              </w:rPr>
            </w:pPr>
            <w:r>
              <w:rPr>
                <w:rFonts w:hint="eastAsia" w:ascii="宋体" w:hAnsi="宋体"/>
                <w:color w:val="auto"/>
                <w:sz w:val="21"/>
                <w:szCs w:val="21"/>
                <w:highlight w:val="none"/>
              </w:rPr>
              <w:t>□允许偏差的内容、范围和幅度：</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tc>
      </w:tr>
      <w:tr>
        <w:tblPrEx>
          <w:tblCellMar>
            <w:top w:w="0" w:type="dxa"/>
            <w:left w:w="57" w:type="dxa"/>
            <w:bottom w:w="0" w:type="dxa"/>
            <w:right w:w="57" w:type="dxa"/>
          </w:tblCellMar>
        </w:tblPrEx>
        <w:trPr>
          <w:trHeight w:val="90"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2"/>
              <w:jc w:val="center"/>
              <w:rPr>
                <w:rFonts w:ascii="宋体" w:hAnsi="宋体"/>
                <w:color w:val="auto"/>
                <w:sz w:val="21"/>
                <w:szCs w:val="21"/>
                <w:highlight w:val="none"/>
              </w:rPr>
            </w:pPr>
            <w:r>
              <w:rPr>
                <w:rFonts w:hint="eastAsia" w:ascii="宋体" w:hAnsi="宋体"/>
                <w:color w:val="auto"/>
                <w:sz w:val="21"/>
                <w:szCs w:val="21"/>
                <w:highlight w:val="none"/>
              </w:rPr>
              <w:t>2.1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构成招标文件的其他资料</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color w:val="auto"/>
                <w:sz w:val="21"/>
                <w:szCs w:val="21"/>
                <w:highlight w:val="none"/>
              </w:rPr>
            </w:pPr>
            <w:r>
              <w:rPr>
                <w:rFonts w:hint="eastAsia"/>
                <w:color w:val="auto"/>
                <w:sz w:val="21"/>
                <w:szCs w:val="21"/>
                <w:highlight w:val="none"/>
              </w:rPr>
              <w:t>招标控制价及明细</w:t>
            </w:r>
          </w:p>
          <w:p>
            <w:pPr>
              <w:pStyle w:val="26"/>
              <w:kinsoku w:val="0"/>
              <w:snapToGrid w:val="0"/>
              <w:spacing w:line="400" w:lineRule="exact"/>
              <w:jc w:val="both"/>
              <w:rPr>
                <w:rFonts w:ascii="宋体"/>
                <w:color w:val="auto"/>
                <w:sz w:val="21"/>
                <w:szCs w:val="21"/>
                <w:highlight w:val="none"/>
                <w:u w:val="single"/>
              </w:rPr>
            </w:pPr>
            <w:r>
              <w:rPr>
                <w:rFonts w:hint="eastAsia" w:ascii="宋体" w:hAnsi="宋体"/>
                <w:color w:val="auto"/>
                <w:sz w:val="21"/>
                <w:szCs w:val="21"/>
                <w:highlight w:val="none"/>
              </w:rPr>
              <w:t>□其他：</w:t>
            </w:r>
            <w:r>
              <w:rPr>
                <w:rFonts w:hint="eastAsia" w:ascii="宋体" w:hAnsi="宋体"/>
                <w:color w:val="auto"/>
                <w:sz w:val="21"/>
                <w:szCs w:val="21"/>
                <w:highlight w:val="none"/>
                <w:u w:val="single"/>
              </w:rPr>
              <w:t xml:space="preserve">               </w:t>
            </w:r>
            <w:r>
              <w:rPr>
                <w:rFonts w:hint="eastAsia" w:ascii="宋体"/>
                <w:color w:val="auto"/>
                <w:sz w:val="21"/>
                <w:szCs w:val="21"/>
                <w:highlight w:val="none"/>
                <w:u w:val="single"/>
              </w:rPr>
              <w:t xml:space="preserve">/  </w:t>
            </w:r>
            <w:r>
              <w:rPr>
                <w:rFonts w:hint="eastAsia" w:ascii="宋体" w:hAnsi="宋体"/>
                <w:color w:val="auto"/>
                <w:sz w:val="21"/>
                <w:szCs w:val="21"/>
                <w:highlight w:val="none"/>
                <w:u w:val="single"/>
              </w:rPr>
              <w:t xml:space="preserve">                   </w:t>
            </w:r>
          </w:p>
        </w:tc>
      </w:tr>
      <w:tr>
        <w:tblPrEx>
          <w:tblCellMar>
            <w:top w:w="0" w:type="dxa"/>
            <w:left w:w="57" w:type="dxa"/>
            <w:bottom w:w="0" w:type="dxa"/>
            <w:right w:w="57" w:type="dxa"/>
          </w:tblCellMar>
        </w:tblPrEx>
        <w:trPr>
          <w:trHeight w:val="856" w:hRule="atLeast"/>
        </w:trPr>
        <w:tc>
          <w:tcPr>
            <w:tcW w:w="1173" w:type="dxa"/>
            <w:vMerge w:val="restart"/>
            <w:tcBorders>
              <w:top w:val="nil"/>
              <w:left w:val="single" w:color="000000" w:sz="4" w:space="0"/>
              <w:bottom w:val="nil"/>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2.2.1</w:t>
            </w:r>
          </w:p>
          <w:p>
            <w:pPr>
              <w:pStyle w:val="26"/>
              <w:kinsoku w:val="0"/>
              <w:spacing w:line="400" w:lineRule="exact"/>
              <w:jc w:val="center"/>
              <w:rPr>
                <w:rFonts w:ascii="宋体" w:hAnsi="宋体"/>
                <w:color w:val="auto"/>
                <w:sz w:val="21"/>
                <w:szCs w:val="21"/>
                <w:highlight w:val="none"/>
              </w:rPr>
            </w:pP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投标人要求澄清招标文件</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截止时间：</w:t>
            </w:r>
            <w:r>
              <w:rPr>
                <w:rFonts w:hint="eastAsia" w:ascii="宋体" w:hAnsi="宋体"/>
                <w:color w:val="auto"/>
                <w:sz w:val="21"/>
                <w:szCs w:val="21"/>
                <w:highlight w:val="none"/>
                <w:u w:val="single"/>
              </w:rPr>
              <w:t>202</w:t>
            </w:r>
            <w:r>
              <w:rPr>
                <w:rFonts w:hint="eastAsia" w:ascii="宋体" w:hAnsi="宋体"/>
                <w:color w:val="auto"/>
                <w:sz w:val="21"/>
                <w:szCs w:val="21"/>
                <w:highlight w:val="none"/>
                <w:u w:val="singl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时（投标人在截止时间以后提出的澄清招标文件的要求，招标人可以拒绝受理）</w:t>
            </w:r>
          </w:p>
          <w:p>
            <w:pPr>
              <w:snapToGrid w:val="0"/>
              <w:spacing w:line="400" w:lineRule="exact"/>
              <w:rPr>
                <w:rFonts w:ascii="宋体" w:hAnsi="宋体"/>
                <w:color w:val="auto"/>
                <w:sz w:val="21"/>
                <w:szCs w:val="21"/>
                <w:highlight w:val="none"/>
                <w:u w:val="single"/>
              </w:rPr>
            </w:pPr>
            <w:r>
              <w:rPr>
                <w:rFonts w:hint="eastAsia" w:ascii="宋体" w:hAnsi="宋体"/>
                <w:color w:val="auto"/>
                <w:sz w:val="21"/>
                <w:szCs w:val="21"/>
                <w:highlight w:val="none"/>
              </w:rPr>
              <w:t xml:space="preserve">提交方式: </w:t>
            </w:r>
            <w:r>
              <w:rPr>
                <w:rFonts w:hint="eastAsia" w:ascii="宋体" w:hAnsi="宋体" w:cs="宋体"/>
                <w:b/>
                <w:bCs/>
                <w:color w:val="auto"/>
                <w:sz w:val="21"/>
                <w:szCs w:val="21"/>
                <w:highlight w:val="none"/>
                <w:u w:val="single"/>
              </w:rPr>
              <w:t>请在上述时间截止前将加盖公章的PDF电子格式的投标提问书发送至</w:t>
            </w:r>
            <w:r>
              <w:rPr>
                <w:rFonts w:hint="eastAsia" w:ascii="宋体" w:hAnsi="宋体" w:cs="宋体"/>
                <w:b/>
                <w:bCs/>
                <w:color w:val="auto"/>
                <w:sz w:val="21"/>
                <w:szCs w:val="21"/>
                <w:highlight w:val="none"/>
                <w:u w:val="single"/>
                <w:lang w:val="en-US" w:eastAsia="zh-CN"/>
              </w:rPr>
              <w:t>740592615</w:t>
            </w:r>
            <w:r>
              <w:rPr>
                <w:rFonts w:hint="eastAsia" w:ascii="宋体" w:hAnsi="宋体" w:cs="宋体"/>
                <w:b/>
                <w:bCs/>
                <w:color w:val="auto"/>
                <w:sz w:val="21"/>
                <w:szCs w:val="21"/>
                <w:highlight w:val="none"/>
                <w:u w:val="single"/>
              </w:rPr>
              <w:t>@qq.com</w:t>
            </w:r>
            <w:r>
              <w:rPr>
                <w:rFonts w:hint="eastAsia" w:ascii="宋体" w:hAnsi="宋体"/>
                <w:b/>
                <w:bCs/>
                <w:color w:val="auto"/>
                <w:sz w:val="21"/>
                <w:szCs w:val="21"/>
                <w:highlight w:val="none"/>
                <w:u w:val="single"/>
              </w:rPr>
              <w:t xml:space="preserve"> 。</w:t>
            </w:r>
          </w:p>
          <w:p>
            <w:pPr>
              <w:snapToGrid w:val="0"/>
              <w:spacing w:line="400" w:lineRule="exact"/>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联系方式：</w:t>
            </w:r>
            <w:r>
              <w:rPr>
                <w:rFonts w:hint="eastAsia" w:ascii="宋体" w:hAnsi="宋体" w:cs="宋体"/>
                <w:b/>
                <w:bCs/>
                <w:color w:val="auto"/>
                <w:sz w:val="21"/>
                <w:szCs w:val="21"/>
                <w:highlight w:val="none"/>
                <w:u w:val="single"/>
                <w:lang w:val="en-US" w:eastAsia="zh-CN"/>
              </w:rPr>
              <w:t>15105850608</w:t>
            </w:r>
            <w:r>
              <w:rPr>
                <w:rFonts w:hint="eastAsia" w:ascii="宋体" w:hAnsi="宋体"/>
                <w:b/>
                <w:bCs/>
                <w:color w:val="auto"/>
                <w:sz w:val="21"/>
                <w:szCs w:val="21"/>
                <w:highlight w:val="none"/>
                <w:u w:val="single"/>
              </w:rPr>
              <w:t xml:space="preserve"> </w:t>
            </w:r>
            <w:r>
              <w:rPr>
                <w:rFonts w:hint="eastAsia" w:ascii="宋体" w:hAnsi="宋体"/>
                <w:color w:val="auto"/>
                <w:sz w:val="21"/>
                <w:szCs w:val="21"/>
                <w:highlight w:val="none"/>
              </w:rPr>
              <w:t>联系人：</w:t>
            </w:r>
            <w:r>
              <w:rPr>
                <w:rFonts w:hint="eastAsia" w:ascii="宋体" w:hAnsi="宋体" w:cs="宋体"/>
                <w:b/>
                <w:bCs/>
                <w:color w:val="auto"/>
                <w:sz w:val="21"/>
                <w:szCs w:val="21"/>
                <w:highlight w:val="none"/>
                <w:u w:val="single"/>
                <w:lang w:eastAsia="zh-CN"/>
              </w:rPr>
              <w:t>姚迪</w:t>
            </w:r>
          </w:p>
        </w:tc>
      </w:tr>
      <w:tr>
        <w:tblPrEx>
          <w:tblCellMar>
            <w:top w:w="0" w:type="dxa"/>
            <w:left w:w="57" w:type="dxa"/>
            <w:bottom w:w="0" w:type="dxa"/>
            <w:right w:w="57" w:type="dxa"/>
          </w:tblCellMar>
        </w:tblPrEx>
        <w:trPr>
          <w:trHeight w:val="90" w:hRule="atLeast"/>
        </w:trPr>
        <w:tc>
          <w:tcPr>
            <w:tcW w:w="1173" w:type="dxa"/>
            <w:vMerge w:val="continue"/>
            <w:tcBorders>
              <w:top w:val="nil"/>
              <w:left w:val="single" w:color="000000" w:sz="4" w:space="0"/>
              <w:bottom w:val="nil"/>
              <w:right w:val="single" w:color="000000" w:sz="4" w:space="0"/>
            </w:tcBorders>
            <w:vAlign w:val="center"/>
          </w:tcPr>
          <w:p>
            <w:pPr>
              <w:widowControl/>
              <w:autoSpaceDE/>
              <w:autoSpaceDN/>
              <w:adjustRightInd/>
              <w:spacing w:line="400" w:lineRule="exact"/>
              <w:rPr>
                <w:rFonts w:ascii="宋体" w:hAnsi="宋体"/>
                <w:color w:val="auto"/>
                <w:sz w:val="21"/>
                <w:szCs w:val="21"/>
                <w:highlight w:val="none"/>
              </w:rPr>
            </w:pP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招标文件澄清</w:t>
            </w:r>
          </w:p>
          <w:p>
            <w:pPr>
              <w:pStyle w:val="26"/>
              <w:kinsoku w:val="0"/>
              <w:spacing w:line="400" w:lineRule="exact"/>
              <w:jc w:val="center"/>
              <w:rPr>
                <w:rFonts w:eastAsia="Times New Roman"/>
                <w:color w:val="auto"/>
                <w:sz w:val="21"/>
                <w:szCs w:val="21"/>
                <w:highlight w:val="none"/>
              </w:rPr>
            </w:pPr>
            <w:r>
              <w:rPr>
                <w:rFonts w:hint="eastAsia" w:ascii="宋体"/>
                <w:color w:val="auto"/>
                <w:sz w:val="21"/>
                <w:szCs w:val="21"/>
                <w:highlight w:val="none"/>
              </w:rPr>
              <w:t>发出的形式</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招标人对投标人疑问作出统一的解答，并以招标补充文件的形式发出。</w:t>
            </w:r>
          </w:p>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在当地招投标交易平台上公开发布。在开标前，投标人须随时关注网站的最新答疑信息，自行下载。</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2.2.3</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投标人确认</w:t>
            </w:r>
          </w:p>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收到招标文件澄清</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潜在投标人应自行关注当地招投标交易平台发布的补充文件信息，招标人不再逐一通知。投标人因自身贻误行为导致投标失败的，责任自负。</w:t>
            </w:r>
          </w:p>
        </w:tc>
      </w:tr>
      <w:tr>
        <w:tblPrEx>
          <w:tblCellMar>
            <w:top w:w="0" w:type="dxa"/>
            <w:left w:w="57" w:type="dxa"/>
            <w:bottom w:w="0" w:type="dxa"/>
            <w:right w:w="57" w:type="dxa"/>
          </w:tblCellMar>
        </w:tblPrEx>
        <w:trPr>
          <w:trHeight w:val="701"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2.3.1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eastAsia="Times New Roman"/>
                <w:color w:val="auto"/>
                <w:sz w:val="21"/>
                <w:szCs w:val="21"/>
                <w:highlight w:val="none"/>
              </w:rPr>
            </w:pPr>
            <w:r>
              <w:rPr>
                <w:rFonts w:hint="eastAsia" w:ascii="宋体"/>
                <w:color w:val="auto"/>
                <w:sz w:val="21"/>
                <w:szCs w:val="21"/>
                <w:highlight w:val="none"/>
              </w:rPr>
              <w:t>招标人修改文件发出的形式</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同2.2.1</w:t>
            </w:r>
          </w:p>
        </w:tc>
      </w:tr>
      <w:tr>
        <w:tblPrEx>
          <w:tblCellMar>
            <w:top w:w="0" w:type="dxa"/>
            <w:left w:w="57" w:type="dxa"/>
            <w:bottom w:w="0" w:type="dxa"/>
            <w:right w:w="57" w:type="dxa"/>
          </w:tblCellMar>
        </w:tblPrEx>
        <w:trPr>
          <w:trHeight w:val="1778"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napToGrid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投标文件的组成</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bCs/>
                <w:color w:val="auto"/>
                <w:sz w:val="21"/>
                <w:szCs w:val="21"/>
                <w:highlight w:val="none"/>
              </w:rPr>
            </w:pPr>
            <w:r>
              <w:rPr>
                <w:rFonts w:hint="eastAsia" w:ascii="宋体" w:hAnsi="宋体"/>
                <w:bCs/>
                <w:color w:val="auto"/>
                <w:sz w:val="21"/>
                <w:szCs w:val="21"/>
                <w:highlight w:val="none"/>
              </w:rPr>
              <w:t>商务标；</w:t>
            </w:r>
          </w:p>
          <w:p>
            <w:pPr>
              <w:snapToGrid w:val="0"/>
              <w:spacing w:line="400" w:lineRule="exact"/>
              <w:jc w:val="both"/>
              <w:rPr>
                <w:rFonts w:ascii="宋体" w:hAnsi="宋体"/>
                <w:bCs/>
                <w:color w:val="auto"/>
                <w:sz w:val="21"/>
                <w:szCs w:val="21"/>
                <w:highlight w:val="none"/>
                <w:u w:val="single"/>
              </w:rPr>
            </w:pPr>
            <w:r>
              <w:rPr>
                <w:rFonts w:hint="eastAsia" w:ascii="宋体" w:hAnsi="宋体"/>
                <w:color w:val="auto"/>
                <w:sz w:val="21"/>
                <w:szCs w:val="21"/>
                <w:highlight w:val="none"/>
              </w:rPr>
              <w:t>☑</w:t>
            </w:r>
            <w:r>
              <w:rPr>
                <w:rFonts w:hint="eastAsia" w:ascii="宋体" w:hAnsi="宋体"/>
                <w:bCs/>
                <w:color w:val="auto"/>
                <w:sz w:val="21"/>
                <w:szCs w:val="21"/>
                <w:highlight w:val="none"/>
              </w:rPr>
              <w:t>技术标；</w:t>
            </w:r>
          </w:p>
          <w:p>
            <w:pPr>
              <w:snapToGrid w:val="0"/>
              <w:spacing w:line="400" w:lineRule="exact"/>
              <w:jc w:val="both"/>
              <w:rPr>
                <w:rFonts w:ascii="宋体" w:hAnsi="宋体"/>
                <w:bCs/>
                <w:color w:val="auto"/>
                <w:sz w:val="21"/>
                <w:szCs w:val="21"/>
                <w:highlight w:val="none"/>
              </w:rPr>
            </w:pPr>
            <w:r>
              <w:rPr>
                <w:rFonts w:hint="eastAsia" w:ascii="宋体" w:hAnsi="宋体"/>
                <w:color w:val="auto"/>
                <w:sz w:val="21"/>
                <w:szCs w:val="21"/>
                <w:highlight w:val="none"/>
              </w:rPr>
              <w:t>☑</w:t>
            </w:r>
            <w:r>
              <w:rPr>
                <w:rFonts w:hint="eastAsia" w:ascii="宋体" w:hAnsi="宋体"/>
                <w:bCs/>
                <w:color w:val="auto"/>
                <w:sz w:val="21"/>
                <w:szCs w:val="21"/>
                <w:highlight w:val="none"/>
              </w:rPr>
              <w:t>资信标；</w:t>
            </w:r>
          </w:p>
          <w:p>
            <w:pPr>
              <w:snapToGrid w:val="0"/>
              <w:spacing w:line="400" w:lineRule="exact"/>
              <w:jc w:val="both"/>
              <w:rPr>
                <w:rFonts w:ascii="宋体" w:hAnsi="宋体"/>
                <w:bCs/>
                <w:color w:val="auto"/>
                <w:sz w:val="21"/>
                <w:szCs w:val="21"/>
                <w:highlight w:val="none"/>
              </w:rPr>
            </w:pPr>
            <w:r>
              <w:rPr>
                <w:rFonts w:hint="eastAsia" w:ascii="宋体" w:hAnsi="宋体"/>
                <w:bCs/>
                <w:color w:val="auto"/>
                <w:sz w:val="21"/>
                <w:szCs w:val="21"/>
                <w:highlight w:val="none"/>
              </w:rPr>
              <w:t>资格审查资料。</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3.2.1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增值税税金的计算方法</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☑一般计税法</w:t>
            </w:r>
          </w:p>
          <w:p>
            <w:pPr>
              <w:snapToGrid w:val="0"/>
              <w:spacing w:line="400" w:lineRule="exact"/>
              <w:jc w:val="both"/>
              <w:rPr>
                <w:rFonts w:ascii="宋体" w:hAnsi="宋体"/>
                <w:color w:val="auto"/>
                <w:sz w:val="21"/>
                <w:szCs w:val="21"/>
                <w:highlight w:val="none"/>
              </w:rPr>
            </w:pPr>
            <w:r>
              <w:rPr>
                <w:rFonts w:ascii="Wingdings 2" w:hAnsi="Wingdings 2"/>
                <w:color w:val="auto"/>
                <w:sz w:val="21"/>
                <w:szCs w:val="21"/>
                <w:highlight w:val="none"/>
              </w:rPr>
              <w:t>□</w:t>
            </w:r>
            <w:r>
              <w:rPr>
                <w:rFonts w:hint="eastAsia" w:ascii="宋体" w:hAnsi="宋体"/>
                <w:color w:val="auto"/>
                <w:sz w:val="21"/>
                <w:szCs w:val="21"/>
                <w:highlight w:val="none"/>
              </w:rPr>
              <w:t>简易计税法</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3.2.3</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color w:val="auto"/>
                <w:sz w:val="21"/>
                <w:szCs w:val="21"/>
                <w:highlight w:val="none"/>
              </w:rPr>
            </w:pPr>
            <w:r>
              <w:rPr>
                <w:rFonts w:hint="eastAsia" w:ascii="宋体"/>
                <w:color w:val="auto"/>
                <w:sz w:val="21"/>
                <w:szCs w:val="21"/>
                <w:highlight w:val="none"/>
              </w:rPr>
              <w:t>工程量清单计价方式</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综合单价法</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3.2.4</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最高投标限价</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1.最高投标限价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41588.7485 </w:t>
            </w:r>
            <w:r>
              <w:rPr>
                <w:rFonts w:hint="eastAsia" w:ascii="宋体" w:hAnsi="宋体"/>
                <w:color w:val="auto"/>
                <w:sz w:val="21"/>
                <w:szCs w:val="21"/>
                <w:highlight w:val="none"/>
              </w:rPr>
              <w:t>万元；</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2.□最高投标限价在招标文件澄清或修改文件中发布；</w:t>
            </w:r>
          </w:p>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3.</w:t>
            </w:r>
            <w:r>
              <w:rPr>
                <w:rFonts w:hint="eastAsia" w:ascii="Wingdings 2" w:hAnsi="Wingdings 2"/>
                <w:color w:val="auto"/>
                <w:sz w:val="21"/>
                <w:szCs w:val="21"/>
                <w:highlight w:val="none"/>
                <w:lang w:eastAsia="zh-CN"/>
              </w:rPr>
              <w:t>☑</w:t>
            </w:r>
            <w:r>
              <w:rPr>
                <w:rFonts w:hint="eastAsia" w:ascii="宋体" w:hAnsi="宋体"/>
                <w:color w:val="auto"/>
                <w:sz w:val="21"/>
                <w:szCs w:val="21"/>
                <w:highlight w:val="none"/>
              </w:rPr>
              <w:t>风险控制价；为防止投标人恶意低价竞标，最高投标限价的</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u w:val="single"/>
                <w:lang w:val="en-US" w:eastAsia="zh-CN"/>
              </w:rPr>
              <w:t>80</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％作为风险控制价（万元）。</w:t>
            </w:r>
          </w:p>
        </w:tc>
      </w:tr>
      <w:tr>
        <w:tblPrEx>
          <w:tblCellMar>
            <w:top w:w="0" w:type="dxa"/>
            <w:left w:w="57" w:type="dxa"/>
            <w:bottom w:w="0" w:type="dxa"/>
            <w:right w:w="57" w:type="dxa"/>
          </w:tblCellMar>
        </w:tblPrEx>
        <w:trPr>
          <w:trHeight w:val="651"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3.2.5</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投标报价的</w:t>
            </w:r>
          </w:p>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其他要求</w:t>
            </w:r>
          </w:p>
        </w:tc>
        <w:tc>
          <w:tcPr>
            <w:tcW w:w="6729" w:type="dxa"/>
            <w:tcBorders>
              <w:top w:val="single" w:color="000000" w:sz="4" w:space="0"/>
              <w:left w:val="nil"/>
              <w:bottom w:val="single" w:color="000000" w:sz="4" w:space="0"/>
              <w:right w:val="single" w:color="000000" w:sz="4" w:space="0"/>
            </w:tcBorders>
            <w:vAlign w:val="bottom"/>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技术规范要求和设计施工图中所列的施工要求所产生的费用应包括在投标报价中。上述要求凡招标人提供的工程量清单项目特征描述所涉及的工作内容，投标人在相应的清单项目的综合单价中考虑，招标人不单独列项支付；</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2、除非合同中另有规定，投标人在投标总价中的价格均包括完成该工程项目的人工费、机械费、材料费、管理费、利润、规费、税金、风险费等所有费用；</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3、施工期间由于承包人原因造成施工方案的更改，所增加的工程费用及工期一概不予调整，属施工技术组织措施失误造成的费用及延误工期均由承包人承担。对施工组织设计的内容未在投标报价中体现的均视同优惠；</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4、公共费用（如交通、市容、环保、噪音、排污、治安等费用）由投标人自行调研作为单项费用计入措施项目费中，否则视作优惠；</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5、请投标人充分考虑连续24小时以内的停电、停水、二次搬运、施工场地不足、成品保护、冬雨季施工等所需措施的相关费用和工期，以及各种不确定因素影响施工所增加的费用，结算时不另增加费用；</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6、本招标工程所有建筑垃圾（包含平行发包单位产生的建筑垃圾）中标人必须自行联系政府规定合法堆弃点，从工地清运出去，涉及运输距离远近和运输过程中发生的环保费、城市卫生费等开支，投标人在报价时充分考虑，结算时不另增加费用；</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7、其他报价相关内容请结合工程量清单编制说明及合同专用条款相应内容一并阅读，请各投标人根据市场及自身企业实际情况确定报价，投标价不得低于成本价。</w:t>
            </w:r>
          </w:p>
        </w:tc>
      </w:tr>
      <w:tr>
        <w:tblPrEx>
          <w:tblCellMar>
            <w:top w:w="0" w:type="dxa"/>
            <w:left w:w="57" w:type="dxa"/>
            <w:bottom w:w="0" w:type="dxa"/>
            <w:right w:w="57" w:type="dxa"/>
          </w:tblCellMar>
        </w:tblPrEx>
        <w:trPr>
          <w:trHeight w:val="375" w:hRule="atLeast"/>
        </w:trPr>
        <w:tc>
          <w:tcPr>
            <w:tcW w:w="1173" w:type="dxa"/>
            <w:tcBorders>
              <w:top w:val="single" w:color="000000" w:sz="4" w:space="0"/>
              <w:left w:val="single" w:color="000000" w:sz="4" w:space="0"/>
              <w:bottom w:val="single" w:color="000000" w:sz="4" w:space="0"/>
              <w:right w:val="single" w:color="000000" w:sz="4" w:space="0"/>
            </w:tcBorders>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3.3.1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color w:val="auto"/>
                <w:sz w:val="21"/>
                <w:szCs w:val="21"/>
                <w:highlight w:val="none"/>
              </w:rPr>
            </w:pPr>
            <w:r>
              <w:rPr>
                <w:rFonts w:hint="eastAsia" w:ascii="宋体"/>
                <w:color w:val="auto"/>
                <w:sz w:val="21"/>
                <w:szCs w:val="21"/>
                <w:highlight w:val="none"/>
              </w:rPr>
              <w:t>投标有效期</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u w:val="single"/>
              </w:rPr>
              <w:t xml:space="preserve"> 90 </w:t>
            </w:r>
            <w:r>
              <w:rPr>
                <w:rFonts w:hint="eastAsia" w:ascii="宋体" w:hAnsi="宋体"/>
                <w:color w:val="auto"/>
                <w:sz w:val="21"/>
                <w:szCs w:val="21"/>
                <w:highlight w:val="none"/>
              </w:rPr>
              <w:t>个日历天（从投标截止之日起算）。</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3.4.1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color w:val="auto"/>
                <w:sz w:val="21"/>
                <w:szCs w:val="21"/>
                <w:highlight w:val="none"/>
              </w:rPr>
            </w:pPr>
            <w:r>
              <w:rPr>
                <w:rFonts w:hint="eastAsia" w:ascii="宋体"/>
                <w:color w:val="auto"/>
                <w:sz w:val="21"/>
                <w:szCs w:val="21"/>
                <w:highlight w:val="none"/>
              </w:rPr>
              <w:t>投标保证金</w:t>
            </w:r>
          </w:p>
        </w:tc>
        <w:tc>
          <w:tcPr>
            <w:tcW w:w="6729" w:type="dxa"/>
            <w:tcBorders>
              <w:top w:val="single" w:color="000000" w:sz="4" w:space="0"/>
              <w:left w:val="nil"/>
              <w:bottom w:val="single" w:color="000000" w:sz="4" w:space="0"/>
              <w:right w:val="single" w:color="000000" w:sz="4" w:space="0"/>
            </w:tcBorders>
          </w:tcPr>
          <w:p>
            <w:pPr>
              <w:pStyle w:val="26"/>
              <w:kinsoku w:val="0"/>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1.金额：人民币</w:t>
            </w:r>
            <w:r>
              <w:rPr>
                <w:rFonts w:hint="eastAsia" w:ascii="宋体" w:hAnsi="宋体"/>
                <w:b/>
                <w:bCs/>
                <w:color w:val="auto"/>
                <w:sz w:val="21"/>
                <w:szCs w:val="21"/>
                <w:highlight w:val="none"/>
                <w:u w:val="single"/>
              </w:rPr>
              <w:t>50</w:t>
            </w:r>
            <w:r>
              <w:rPr>
                <w:rFonts w:hint="eastAsia" w:ascii="宋体" w:hAnsi="宋体"/>
                <w:color w:val="auto"/>
                <w:sz w:val="21"/>
                <w:szCs w:val="21"/>
                <w:highlight w:val="none"/>
              </w:rPr>
              <w:t>万元（不得超过项目估算价的2%，且最高不得超过50万元。）</w:t>
            </w:r>
          </w:p>
          <w:p>
            <w:pPr>
              <w:pStyle w:val="26"/>
              <w:kinsoku w:val="0"/>
              <w:snapToGrid w:val="0"/>
              <w:spacing w:line="400" w:lineRule="exact"/>
              <w:rPr>
                <w:rStyle w:val="27"/>
                <w:rFonts w:ascii="宋体" w:hAnsi="宋体"/>
                <w:color w:val="auto"/>
                <w:sz w:val="21"/>
                <w:szCs w:val="21"/>
                <w:highlight w:val="none"/>
              </w:rPr>
            </w:pPr>
            <w:r>
              <w:rPr>
                <w:rFonts w:hint="eastAsia" w:ascii="宋体" w:hAnsi="宋体"/>
                <w:color w:val="auto"/>
                <w:sz w:val="21"/>
                <w:szCs w:val="21"/>
                <w:highlight w:val="none"/>
              </w:rPr>
              <w:t>2.交纳方式：</w:t>
            </w:r>
            <w:r>
              <w:rPr>
                <w:rFonts w:hint="eastAsia" w:ascii="宋体" w:hAnsi="宋体" w:cs="宋体"/>
                <w:color w:val="auto"/>
                <w:sz w:val="21"/>
                <w:szCs w:val="21"/>
                <w:highlight w:val="none"/>
              </w:rPr>
              <w:t>银行保函/保证保险/担保公司担保/转账（从基本账户转出）</w:t>
            </w:r>
          </w:p>
          <w:p>
            <w:pPr>
              <w:pStyle w:val="26"/>
              <w:kinsoku w:val="0"/>
              <w:snapToGrid w:val="0"/>
              <w:spacing w:line="400" w:lineRule="exact"/>
              <w:rPr>
                <w:color w:val="auto"/>
                <w:sz w:val="21"/>
                <w:szCs w:val="21"/>
                <w:highlight w:val="none"/>
                <w:u w:val="single"/>
              </w:rPr>
            </w:pPr>
            <w:r>
              <w:rPr>
                <w:rStyle w:val="27"/>
                <w:rFonts w:hint="eastAsia" w:ascii="宋体" w:hAnsi="宋体"/>
                <w:color w:val="auto"/>
                <w:sz w:val="21"/>
                <w:szCs w:val="21"/>
                <w:highlight w:val="none"/>
              </w:rPr>
              <w:t>（1）</w:t>
            </w:r>
            <w:r>
              <w:rPr>
                <w:rFonts w:hint="eastAsia" w:ascii="宋体" w:hAnsi="宋体" w:cs="宋体"/>
                <w:color w:val="auto"/>
                <w:sz w:val="21"/>
                <w:szCs w:val="21"/>
                <w:highlight w:val="none"/>
              </w:rPr>
              <w:t>交纳要求（转账）保证金缴入账户共二个，企业可自主选择其中一个账户缴纳</w:t>
            </w:r>
            <w:r>
              <w:rPr>
                <w:rStyle w:val="27"/>
                <w:rFonts w:hint="eastAsia" w:ascii="宋体" w:hAnsi="宋体"/>
                <w:color w:val="auto"/>
                <w:sz w:val="21"/>
                <w:szCs w:val="21"/>
                <w:highlight w:val="none"/>
              </w:rPr>
              <w:t>：</w:t>
            </w:r>
          </w:p>
          <w:p>
            <w:pPr>
              <w:pStyle w:val="26"/>
              <w:kinsoku w:val="0"/>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 xml:space="preserve">   户名：</w:t>
            </w:r>
            <w:r>
              <w:rPr>
                <w:rFonts w:hint="eastAsia" w:ascii="宋体" w:hAnsi="宋体"/>
                <w:b/>
                <w:bCs/>
                <w:color w:val="auto"/>
                <w:sz w:val="21"/>
                <w:szCs w:val="21"/>
                <w:highlight w:val="none"/>
                <w:u w:val="single"/>
              </w:rPr>
              <w:t>绍兴市公共资源交易中心越城区分中心保证金专户</w:t>
            </w:r>
            <w:r>
              <w:rPr>
                <w:rFonts w:hint="eastAsia" w:ascii="宋体" w:hAnsi="宋体"/>
                <w:color w:val="auto"/>
                <w:sz w:val="21"/>
                <w:szCs w:val="21"/>
                <w:highlight w:val="none"/>
              </w:rPr>
              <w:t>。</w:t>
            </w:r>
          </w:p>
          <w:p>
            <w:pPr>
              <w:pStyle w:val="26"/>
              <w:kinsoku w:val="0"/>
              <w:snapToGrid w:val="0"/>
              <w:spacing w:line="400" w:lineRule="exact"/>
              <w:ind w:firstLine="525" w:firstLineChars="250"/>
              <w:rPr>
                <w:rFonts w:ascii="宋体" w:hAnsi="宋体"/>
                <w:color w:val="auto"/>
                <w:sz w:val="21"/>
                <w:szCs w:val="21"/>
                <w:highlight w:val="none"/>
              </w:rPr>
            </w:pPr>
            <w:r>
              <w:rPr>
                <w:rFonts w:hint="eastAsia" w:ascii="宋体" w:hAnsi="宋体"/>
                <w:color w:val="auto"/>
                <w:sz w:val="21"/>
                <w:szCs w:val="21"/>
                <w:highlight w:val="none"/>
              </w:rPr>
              <w:t>账户一：</w:t>
            </w:r>
            <w:r>
              <w:rPr>
                <w:rFonts w:hint="eastAsia" w:ascii="宋体" w:hAnsi="宋体"/>
                <w:color w:val="auto"/>
                <w:sz w:val="21"/>
                <w:szCs w:val="21"/>
                <w:highlight w:val="none"/>
                <w:u w:val="single"/>
              </w:rPr>
              <w:t xml:space="preserve">  </w:t>
            </w:r>
            <w:r>
              <w:rPr>
                <w:rFonts w:hint="eastAsia" w:ascii="宋体" w:hAnsi="宋体"/>
                <w:b/>
                <w:bCs/>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26"/>
              <w:kinsoku w:val="0"/>
              <w:snapToGrid w:val="0"/>
              <w:spacing w:line="4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开户银行：</w:t>
            </w:r>
            <w:r>
              <w:rPr>
                <w:rFonts w:hint="eastAsia" w:ascii="宋体" w:hAnsi="宋体"/>
                <w:b/>
                <w:bCs/>
                <w:color w:val="auto"/>
                <w:sz w:val="21"/>
                <w:szCs w:val="21"/>
                <w:highlight w:val="none"/>
                <w:u w:val="single"/>
              </w:rPr>
              <w:t xml:space="preserve"> </w:t>
            </w:r>
            <w:r>
              <w:rPr>
                <w:rFonts w:hint="eastAsia" w:ascii="宋体" w:hAnsi="宋体" w:eastAsia="宋体"/>
                <w:b/>
                <w:bCs/>
                <w:color w:val="auto"/>
                <w:sz w:val="21"/>
                <w:szCs w:val="21"/>
                <w:highlight w:val="none"/>
                <w:u w:val="single"/>
              </w:rPr>
              <w:t xml:space="preserve">恒信农商银行城东支行 </w:t>
            </w:r>
            <w:r>
              <w:rPr>
                <w:rFonts w:hint="eastAsia" w:ascii="宋体" w:hAnsi="宋体"/>
                <w:color w:val="auto"/>
                <w:sz w:val="21"/>
                <w:szCs w:val="21"/>
                <w:highlight w:val="none"/>
              </w:rPr>
              <w:t>。</w:t>
            </w:r>
          </w:p>
          <w:p>
            <w:pPr>
              <w:pStyle w:val="26"/>
              <w:kinsoku w:val="0"/>
              <w:snapToGrid w:val="0"/>
              <w:spacing w:line="400" w:lineRule="exact"/>
              <w:ind w:firstLine="525" w:firstLineChars="250"/>
              <w:rPr>
                <w:rFonts w:ascii="宋体" w:hAnsi="宋体"/>
                <w:color w:val="auto"/>
                <w:sz w:val="21"/>
                <w:szCs w:val="21"/>
                <w:highlight w:val="none"/>
              </w:rPr>
            </w:pPr>
            <w:r>
              <w:rPr>
                <w:rFonts w:hint="eastAsia" w:ascii="宋体" w:hAnsi="宋体"/>
                <w:color w:val="auto"/>
                <w:sz w:val="21"/>
                <w:szCs w:val="21"/>
                <w:highlight w:val="none"/>
              </w:rPr>
              <w:t>账户二：</w:t>
            </w:r>
            <w:r>
              <w:rPr>
                <w:rFonts w:hint="eastAsia" w:ascii="宋体" w:hAnsi="宋体"/>
                <w:color w:val="auto"/>
                <w:sz w:val="21"/>
                <w:szCs w:val="21"/>
                <w:highlight w:val="none"/>
                <w:u w:val="single"/>
              </w:rPr>
              <w:t xml:space="preserve">  </w:t>
            </w:r>
            <w:r>
              <w:rPr>
                <w:rFonts w:hint="eastAsia" w:ascii="宋体" w:hAnsi="宋体"/>
                <w:b/>
                <w:bCs/>
                <w:color w:val="auto"/>
                <w:sz w:val="21"/>
                <w:szCs w:val="21"/>
                <w:highlight w:val="none"/>
                <w:u w:val="single"/>
              </w:rPr>
              <w:t xml:space="preserve">                         </w:t>
            </w:r>
            <w:r>
              <w:rPr>
                <w:rFonts w:hint="eastAsia" w:ascii="宋体" w:hAnsi="宋体"/>
                <w:color w:val="auto"/>
                <w:sz w:val="21"/>
                <w:szCs w:val="21"/>
                <w:highlight w:val="none"/>
              </w:rPr>
              <w:t>。</w:t>
            </w:r>
          </w:p>
          <w:p>
            <w:pPr>
              <w:pStyle w:val="26"/>
              <w:kinsoku w:val="0"/>
              <w:snapToGrid w:val="0"/>
              <w:spacing w:line="4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开户银行：</w:t>
            </w:r>
            <w:r>
              <w:rPr>
                <w:rFonts w:hint="eastAsia" w:ascii="宋体" w:hAnsi="宋体"/>
                <w:b/>
                <w:bCs/>
                <w:color w:val="auto"/>
                <w:sz w:val="21"/>
                <w:szCs w:val="21"/>
                <w:highlight w:val="none"/>
                <w:u w:val="single"/>
              </w:rPr>
              <w:t xml:space="preserve"> 中国农业银行股份有限公司绍兴越城支行  </w:t>
            </w:r>
            <w:r>
              <w:rPr>
                <w:rFonts w:hint="eastAsia" w:ascii="宋体" w:hAnsi="宋体"/>
                <w:color w:val="auto"/>
                <w:sz w:val="21"/>
                <w:szCs w:val="21"/>
                <w:highlight w:val="none"/>
              </w:rPr>
              <w:t>。</w:t>
            </w:r>
          </w:p>
          <w:p>
            <w:pPr>
              <w:pStyle w:val="26"/>
              <w:kinsoku w:val="0"/>
              <w:snapToGrid w:val="0"/>
              <w:spacing w:line="400" w:lineRule="exact"/>
              <w:ind w:firstLine="422" w:firstLineChars="200"/>
              <w:rPr>
                <w:rFonts w:ascii="宋体" w:hAnsi="宋体"/>
                <w:b/>
                <w:bCs/>
                <w:color w:val="auto"/>
                <w:sz w:val="21"/>
                <w:szCs w:val="21"/>
                <w:highlight w:val="none"/>
                <w:u w:val="single"/>
              </w:rPr>
            </w:pPr>
            <w:r>
              <w:rPr>
                <w:rFonts w:hint="eastAsia" w:ascii="宋体" w:hAnsi="宋体"/>
                <w:b/>
                <w:bCs/>
                <w:color w:val="auto"/>
                <w:sz w:val="21"/>
                <w:szCs w:val="21"/>
                <w:highlight w:val="none"/>
                <w:u w:val="single"/>
              </w:rPr>
              <w:t>保证金交纳截止时间：同投标文件递交截止时间。</w:t>
            </w:r>
          </w:p>
          <w:p>
            <w:pPr>
              <w:pStyle w:val="26"/>
              <w:kinsoku w:val="0"/>
              <w:snapToGrid w:val="0"/>
              <w:spacing w:line="400" w:lineRule="exact"/>
              <w:rPr>
                <w:rStyle w:val="27"/>
                <w:rFonts w:ascii="宋体" w:hAnsi="宋体"/>
                <w:color w:val="auto"/>
                <w:sz w:val="21"/>
                <w:szCs w:val="21"/>
                <w:highlight w:val="none"/>
              </w:rPr>
            </w:pPr>
            <w:r>
              <w:rPr>
                <w:rStyle w:val="27"/>
                <w:rFonts w:hint="eastAsia" w:ascii="宋体" w:hAnsi="宋体"/>
                <w:color w:val="auto"/>
                <w:sz w:val="21"/>
                <w:szCs w:val="21"/>
                <w:highlight w:val="none"/>
              </w:rPr>
              <w:t>（2）交纳要求（</w:t>
            </w:r>
            <w:r>
              <w:rPr>
                <w:rFonts w:hint="eastAsia" w:ascii="宋体" w:hAnsi="宋体"/>
                <w:color w:val="auto"/>
                <w:sz w:val="21"/>
                <w:szCs w:val="21"/>
                <w:highlight w:val="none"/>
              </w:rPr>
              <w:t>银行保函/保证保险/担保公司担保</w:t>
            </w:r>
            <w:r>
              <w:rPr>
                <w:rStyle w:val="27"/>
                <w:rFonts w:hint="eastAsia" w:ascii="宋体" w:hAnsi="宋体"/>
                <w:color w:val="auto"/>
                <w:sz w:val="21"/>
                <w:szCs w:val="21"/>
                <w:highlight w:val="none"/>
              </w:rPr>
              <w:t>）：</w:t>
            </w:r>
          </w:p>
          <w:p>
            <w:pPr>
              <w:widowControl/>
              <w:autoSpaceDE/>
              <w:autoSpaceDN/>
              <w:adjustRightInd/>
              <w:spacing w:line="440" w:lineRule="exact"/>
              <w:jc w:val="both"/>
              <w:rPr>
                <w:rFonts w:ascii="宋体" w:hAnsi="宋体"/>
                <w:b/>
                <w:bCs/>
                <w:color w:val="auto"/>
                <w:sz w:val="21"/>
                <w:szCs w:val="21"/>
                <w:highlight w:val="none"/>
                <w:u w:val="single"/>
              </w:rPr>
            </w:pPr>
            <w:r>
              <w:rPr>
                <w:rFonts w:hint="eastAsia" w:ascii="宋体" w:hAnsi="宋体"/>
                <w:b/>
                <w:bCs/>
                <w:color w:val="auto"/>
                <w:sz w:val="21"/>
                <w:szCs w:val="21"/>
                <w:highlight w:val="none"/>
                <w:u w:val="single"/>
              </w:rPr>
              <w:t>招标人接受投标保证金电子保险保函。投标人自行在越城区公共资源交易平台（http://ztb.sxyc.gov.cn/TPBidder/）中自主选择办理。保险保函费用必须从投标人企业基本账户转出，并在投标保证金缴纳截止时间前办妥保险保函手续。</w:t>
            </w:r>
          </w:p>
          <w:p>
            <w:pPr>
              <w:widowControl/>
              <w:autoSpaceDE/>
              <w:autoSpaceDN/>
              <w:adjustRightInd/>
              <w:spacing w:line="440" w:lineRule="exact"/>
              <w:jc w:val="both"/>
              <w:rPr>
                <w:rFonts w:ascii="宋体" w:hAnsi="宋体"/>
                <w:b/>
                <w:bCs/>
                <w:color w:val="auto"/>
                <w:sz w:val="21"/>
                <w:szCs w:val="21"/>
                <w:highlight w:val="none"/>
                <w:u w:val="single"/>
              </w:rPr>
            </w:pPr>
            <w:r>
              <w:rPr>
                <w:rFonts w:hint="eastAsia" w:ascii="宋体" w:hAnsi="宋体"/>
                <w:b/>
                <w:bCs/>
                <w:color w:val="auto"/>
                <w:sz w:val="21"/>
                <w:szCs w:val="21"/>
                <w:highlight w:val="none"/>
                <w:u w:val="single"/>
              </w:rPr>
              <w:t>注：如联合体投标的，投标保证金只要求联合体牵头人缴纳。</w:t>
            </w:r>
          </w:p>
          <w:p>
            <w:pPr>
              <w:pStyle w:val="26"/>
              <w:kinsoku w:val="0"/>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备注：重新招标项目，参与投标的投标人仍需按上述规定要求重新递交投标保证金。</w:t>
            </w:r>
          </w:p>
        </w:tc>
      </w:tr>
      <w:tr>
        <w:tblPrEx>
          <w:tblCellMar>
            <w:top w:w="0" w:type="dxa"/>
            <w:left w:w="57" w:type="dxa"/>
            <w:bottom w:w="0" w:type="dxa"/>
            <w:right w:w="57" w:type="dxa"/>
          </w:tblCellMar>
        </w:tblPrEx>
        <w:trPr>
          <w:trHeight w:val="4914"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367"/>
              <w:rPr>
                <w:rFonts w:ascii="宋体" w:hAnsi="宋体"/>
                <w:color w:val="auto"/>
                <w:sz w:val="21"/>
                <w:szCs w:val="21"/>
                <w:highlight w:val="none"/>
              </w:rPr>
            </w:pPr>
            <w:r>
              <w:rPr>
                <w:rFonts w:hint="eastAsia" w:ascii="宋体" w:hAnsi="宋体"/>
                <w:color w:val="auto"/>
                <w:sz w:val="21"/>
                <w:szCs w:val="21"/>
                <w:highlight w:val="none"/>
              </w:rPr>
              <w:t>3.4.4</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其他可以不予退还投标保证金的情形</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1.经查实，投标人在投标过程中存在串通投标或弄虚作假的。</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2.拟派项目负责人在投标截止日有在其他在建合同工程上担任项目负责人的情形（包括工程总承包项目中的施工负责人）。</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3.其他：</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pStyle w:val="26"/>
              <w:kinsoku w:val="0"/>
              <w:snapToGrid w:val="0"/>
              <w:spacing w:line="400" w:lineRule="exact"/>
              <w:jc w:val="both"/>
              <w:rPr>
                <w:rFonts w:ascii="宋体"/>
                <w:color w:val="auto"/>
                <w:sz w:val="21"/>
                <w:szCs w:val="21"/>
                <w:highlight w:val="none"/>
              </w:rPr>
            </w:pPr>
            <w:r>
              <w:rPr>
                <w:rFonts w:hint="eastAsia" w:ascii="宋体" w:hAnsi="宋体"/>
                <w:color w:val="auto"/>
                <w:sz w:val="21"/>
                <w:szCs w:val="21"/>
                <w:highlight w:val="none"/>
              </w:rPr>
              <w:t>注：本招标文件的“</w:t>
            </w:r>
            <w:r>
              <w:rPr>
                <w:rFonts w:hint="eastAsia" w:ascii="宋体"/>
                <w:color w:val="auto"/>
                <w:sz w:val="21"/>
                <w:szCs w:val="21"/>
                <w:highlight w:val="none"/>
              </w:rPr>
              <w:t>投标保证金不予退还”是指:</w:t>
            </w:r>
          </w:p>
          <w:p>
            <w:pPr>
              <w:pStyle w:val="26"/>
              <w:kinsoku w:val="0"/>
              <w:snapToGrid w:val="0"/>
              <w:spacing w:line="400" w:lineRule="exact"/>
              <w:ind w:firstLine="105" w:firstLineChars="50"/>
              <w:jc w:val="both"/>
              <w:rPr>
                <w:rFonts w:ascii="宋体" w:hAnsi="宋体"/>
                <w:color w:val="auto"/>
                <w:sz w:val="21"/>
                <w:szCs w:val="21"/>
                <w:highlight w:val="none"/>
              </w:rPr>
            </w:pPr>
            <w:r>
              <w:rPr>
                <w:rFonts w:hint="eastAsia" w:ascii="宋体"/>
                <w:color w:val="auto"/>
                <w:sz w:val="21"/>
                <w:szCs w:val="21"/>
                <w:highlight w:val="none"/>
              </w:rPr>
              <w:t>（1）以现金</w:t>
            </w:r>
            <w:r>
              <w:rPr>
                <w:rFonts w:hint="eastAsia" w:ascii="宋体" w:hAnsi="宋体"/>
                <w:color w:val="auto"/>
                <w:sz w:val="21"/>
                <w:szCs w:val="21"/>
                <w:highlight w:val="none"/>
              </w:rPr>
              <w:t>转账形式，转账</w:t>
            </w:r>
            <w:r>
              <w:rPr>
                <w:rFonts w:hint="eastAsia" w:ascii="宋体"/>
                <w:color w:val="auto"/>
                <w:sz w:val="21"/>
                <w:szCs w:val="21"/>
                <w:highlight w:val="none"/>
              </w:rPr>
              <w:t>现金</w:t>
            </w:r>
            <w:r>
              <w:rPr>
                <w:rFonts w:hint="eastAsia" w:ascii="宋体" w:hAnsi="宋体"/>
                <w:color w:val="auto"/>
                <w:sz w:val="21"/>
                <w:szCs w:val="21"/>
                <w:highlight w:val="none"/>
              </w:rPr>
              <w:t>不予退还。</w:t>
            </w:r>
          </w:p>
          <w:p>
            <w:pPr>
              <w:pStyle w:val="26"/>
              <w:kinsoku w:val="0"/>
              <w:snapToGrid w:val="0"/>
              <w:spacing w:line="400" w:lineRule="exact"/>
              <w:ind w:firstLine="105" w:firstLineChars="50"/>
              <w:jc w:val="both"/>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color w:val="auto"/>
                <w:sz w:val="21"/>
                <w:szCs w:val="21"/>
                <w:highlight w:val="none"/>
              </w:rPr>
              <w:t>以</w:t>
            </w:r>
            <w:r>
              <w:rPr>
                <w:rFonts w:hint="eastAsia" w:ascii="宋体" w:hAnsi="宋体"/>
                <w:color w:val="auto"/>
                <w:sz w:val="21"/>
                <w:szCs w:val="21"/>
                <w:highlight w:val="none"/>
              </w:rPr>
              <w:t>银行保函形式，招标人作为受益人向银行提起索赔。</w:t>
            </w:r>
          </w:p>
          <w:p>
            <w:pPr>
              <w:pStyle w:val="26"/>
              <w:kinsoku w:val="0"/>
              <w:snapToGrid w:val="0"/>
              <w:spacing w:line="400" w:lineRule="exact"/>
              <w:ind w:firstLine="105" w:firstLineChars="50"/>
              <w:jc w:val="both"/>
              <w:rPr>
                <w:rFonts w:ascii="宋体" w:hAnsi="宋体"/>
                <w:color w:val="auto"/>
                <w:sz w:val="21"/>
                <w:szCs w:val="21"/>
                <w:highlight w:val="none"/>
              </w:rPr>
            </w:pPr>
            <w:r>
              <w:rPr>
                <w:rFonts w:hint="eastAsia" w:ascii="宋体" w:hAnsi="宋体"/>
                <w:color w:val="auto"/>
                <w:sz w:val="21"/>
                <w:szCs w:val="21"/>
                <w:highlight w:val="none"/>
              </w:rPr>
              <w:t>（3）以保证保险形式，招标人作为被保险人（受益人）向保险人提起索赔。</w:t>
            </w:r>
          </w:p>
          <w:p>
            <w:pPr>
              <w:pStyle w:val="26"/>
              <w:kinsoku w:val="0"/>
              <w:snapToGrid w:val="0"/>
              <w:spacing w:line="400" w:lineRule="exact"/>
              <w:ind w:firstLine="105" w:firstLineChars="50"/>
              <w:jc w:val="both"/>
              <w:rPr>
                <w:rFonts w:ascii="宋体" w:hAnsi="宋体"/>
                <w:color w:val="auto"/>
                <w:sz w:val="21"/>
                <w:szCs w:val="21"/>
                <w:highlight w:val="none"/>
              </w:rPr>
            </w:pPr>
            <w:r>
              <w:rPr>
                <w:rFonts w:hint="eastAsia" w:ascii="宋体" w:hAnsi="宋体"/>
                <w:color w:val="auto"/>
                <w:sz w:val="21"/>
                <w:szCs w:val="21"/>
                <w:highlight w:val="none"/>
              </w:rPr>
              <w:t>（4）以担保公司担保形式,招标人作为受益人向担保人提起索赔。</w:t>
            </w:r>
          </w:p>
          <w:p>
            <w:pPr>
              <w:pStyle w:val="26"/>
              <w:kinsoku w:val="0"/>
              <w:snapToGrid w:val="0"/>
              <w:spacing w:line="400" w:lineRule="exact"/>
              <w:ind w:firstLine="105" w:firstLineChars="50"/>
              <w:jc w:val="both"/>
              <w:rPr>
                <w:rFonts w:ascii="宋体" w:hAnsi="宋体"/>
                <w:color w:val="auto"/>
                <w:sz w:val="21"/>
                <w:szCs w:val="21"/>
                <w:highlight w:val="none"/>
              </w:rPr>
            </w:pPr>
            <w:r>
              <w:rPr>
                <w:rFonts w:hint="eastAsia" w:ascii="宋体" w:hAnsi="宋体"/>
                <w:strike/>
                <w:color w:val="auto"/>
                <w:sz w:val="21"/>
                <w:szCs w:val="21"/>
                <w:highlight w:val="none"/>
              </w:rPr>
              <w:t>（5）以年度（联保）保证金形式，招标人作为受益人向年度（联保）保证金出具单位提起划转（索赔）。</w:t>
            </w:r>
          </w:p>
        </w:tc>
      </w:tr>
      <w:tr>
        <w:tblPrEx>
          <w:tblCellMar>
            <w:top w:w="0" w:type="dxa"/>
            <w:left w:w="57" w:type="dxa"/>
            <w:bottom w:w="0" w:type="dxa"/>
            <w:right w:w="57" w:type="dxa"/>
          </w:tblCellMar>
        </w:tblPrEx>
        <w:trPr>
          <w:trHeight w:val="61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3.5</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资格审查资料</w:t>
            </w:r>
          </w:p>
          <w:p>
            <w:pPr>
              <w:pStyle w:val="26"/>
              <w:kinsoku w:val="0"/>
              <w:spacing w:line="400" w:lineRule="exact"/>
              <w:jc w:val="center"/>
              <w:rPr>
                <w:color w:val="auto"/>
                <w:sz w:val="21"/>
                <w:szCs w:val="21"/>
                <w:highlight w:val="none"/>
              </w:rPr>
            </w:pPr>
          </w:p>
        </w:tc>
        <w:tc>
          <w:tcPr>
            <w:tcW w:w="6729" w:type="dxa"/>
            <w:tcBorders>
              <w:top w:val="single" w:color="000000" w:sz="4" w:space="0"/>
              <w:left w:val="nil"/>
              <w:bottom w:val="single" w:color="000000" w:sz="4" w:space="0"/>
              <w:right w:val="single" w:color="000000" w:sz="4" w:space="0"/>
            </w:tcBorders>
            <w:vAlign w:val="center"/>
          </w:tcPr>
          <w:p>
            <w:pPr>
              <w:pStyle w:val="28"/>
              <w:keepNext w:val="0"/>
              <w:keepLines w:val="0"/>
              <w:pageBreakBefore w:val="0"/>
              <w:numPr>
                <w:ilvl w:val="0"/>
                <w:numId w:val="1"/>
              </w:numPr>
              <w:wordWrap/>
              <w:overflowPunct/>
              <w:topLinePunct w:val="0"/>
              <w:bidi w:val="0"/>
              <w:snapToGrid/>
              <w:spacing w:line="400" w:lineRule="exact"/>
              <w:ind w:left="0" w:leftChars="0" w:firstLine="0" w:firstLineChars="0"/>
              <w:textAlignment w:val="auto"/>
              <w:rPr>
                <w:rFonts w:hint="eastAsia" w:cs="Times New Roman"/>
                <w:color w:val="auto"/>
                <w:sz w:val="21"/>
                <w:szCs w:val="21"/>
                <w:highlight w:val="none"/>
              </w:rPr>
            </w:pPr>
            <w:r>
              <w:rPr>
                <w:rFonts w:hint="eastAsia" w:cs="Times New Roman"/>
                <w:color w:val="auto"/>
                <w:spacing w:val="-4"/>
                <w:sz w:val="21"/>
                <w:szCs w:val="21"/>
                <w:highlight w:val="none"/>
              </w:rPr>
              <w:t>“投标人基本情况表”应附投标人营业执照和组织机构代码证的复制件（按照“三证合一”</w:t>
            </w:r>
            <w:r>
              <w:rPr>
                <w:rFonts w:hint="eastAsia" w:cs="Times New Roman"/>
                <w:color w:val="auto"/>
                <w:spacing w:val="-6"/>
                <w:sz w:val="21"/>
                <w:szCs w:val="21"/>
                <w:highlight w:val="none"/>
              </w:rPr>
              <w:t>或“五证合一”登记制度进行登记的，可仅提供营业执照复制件）、投标人资质证书、安全生产许可证副本等材</w:t>
            </w:r>
            <w:r>
              <w:rPr>
                <w:rFonts w:hint="eastAsia" w:cs="Times New Roman"/>
                <w:color w:val="auto"/>
                <w:sz w:val="21"/>
                <w:szCs w:val="21"/>
                <w:highlight w:val="none"/>
              </w:rPr>
              <w:t>料的复制件</w:t>
            </w:r>
            <w:r>
              <w:rPr>
                <w:rFonts w:hint="eastAsia" w:cs="Times New Roman"/>
                <w:color w:val="auto"/>
                <w:sz w:val="21"/>
                <w:szCs w:val="21"/>
                <w:highlight w:val="none"/>
                <w:lang w:eastAsia="zh-CN"/>
              </w:rPr>
              <w:t>；</w:t>
            </w:r>
          </w:p>
          <w:p>
            <w:pPr>
              <w:pStyle w:val="28"/>
              <w:keepNext w:val="0"/>
              <w:keepLines w:val="0"/>
              <w:pageBreakBefore w:val="0"/>
              <w:numPr>
                <w:ilvl w:val="0"/>
                <w:numId w:val="0"/>
              </w:numPr>
              <w:wordWrap/>
              <w:overflowPunct/>
              <w:topLinePunct w:val="0"/>
              <w:bidi w:val="0"/>
              <w:snapToGrid/>
              <w:spacing w:line="400" w:lineRule="exact"/>
              <w:ind w:leftChars="0"/>
              <w:textAlignment w:val="auto"/>
              <w:rPr>
                <w:rFonts w:hint="eastAsia" w:ascii="宋体" w:hAnsi="宋体" w:eastAsia="宋体" w:cs="Times New Roman"/>
                <w:color w:val="auto"/>
                <w:spacing w:val="-6"/>
                <w:sz w:val="21"/>
                <w:szCs w:val="21"/>
                <w:highlight w:val="none"/>
              </w:rPr>
            </w:pPr>
            <w:r>
              <w:rPr>
                <w:rFonts w:hint="eastAsia" w:ascii="宋体" w:hAnsi="宋体" w:eastAsia="宋体" w:cs="Times New Roman"/>
                <w:color w:val="auto"/>
                <w:spacing w:val="-6"/>
                <w:sz w:val="21"/>
                <w:szCs w:val="21"/>
                <w:highlight w:val="none"/>
              </w:rPr>
              <w:t>提供投标人</w:t>
            </w:r>
            <w:r>
              <w:rPr>
                <w:rFonts w:hint="eastAsia" w:ascii="宋体" w:hAnsi="宋体" w:eastAsia="宋体" w:cs="Times New Roman"/>
                <w:color w:val="auto"/>
                <w:spacing w:val="-6"/>
                <w:sz w:val="21"/>
                <w:szCs w:val="21"/>
                <w:highlight w:val="none"/>
                <w:u w:val="single"/>
                <w:lang w:val="en-US" w:eastAsia="zh-CN"/>
              </w:rPr>
              <w:t xml:space="preserve"> 202</w:t>
            </w:r>
            <w:r>
              <w:rPr>
                <w:rFonts w:hint="eastAsia" w:cs="Times New Roman"/>
                <w:color w:val="auto"/>
                <w:spacing w:val="-6"/>
                <w:sz w:val="21"/>
                <w:szCs w:val="21"/>
                <w:highlight w:val="none"/>
                <w:u w:val="single"/>
                <w:lang w:val="en-US" w:eastAsia="zh-CN"/>
              </w:rPr>
              <w:t>4</w:t>
            </w:r>
            <w:r>
              <w:rPr>
                <w:rFonts w:hint="eastAsia" w:ascii="宋体" w:hAnsi="宋体" w:eastAsia="宋体" w:cs="Times New Roman"/>
                <w:color w:val="auto"/>
                <w:spacing w:val="-6"/>
                <w:sz w:val="21"/>
                <w:szCs w:val="21"/>
                <w:highlight w:val="none"/>
                <w:u w:val="single"/>
                <w:lang w:val="en-US" w:eastAsia="zh-CN"/>
              </w:rPr>
              <w:t xml:space="preserve"> </w:t>
            </w:r>
            <w:r>
              <w:rPr>
                <w:rFonts w:hint="eastAsia" w:ascii="宋体" w:hAnsi="宋体" w:eastAsia="宋体" w:cs="Times New Roman"/>
                <w:color w:val="auto"/>
                <w:spacing w:val="-6"/>
                <w:sz w:val="21"/>
                <w:szCs w:val="21"/>
                <w:highlight w:val="none"/>
              </w:rPr>
              <w:t>年</w:t>
            </w:r>
            <w:r>
              <w:rPr>
                <w:rFonts w:hint="eastAsia" w:ascii="宋体" w:hAnsi="宋体" w:eastAsia="宋体" w:cs="Times New Roman"/>
                <w:color w:val="auto"/>
                <w:spacing w:val="-6"/>
                <w:sz w:val="21"/>
                <w:szCs w:val="21"/>
                <w:highlight w:val="none"/>
                <w:u w:val="single"/>
                <w:lang w:val="en-US" w:eastAsia="zh-CN"/>
              </w:rPr>
              <w:t xml:space="preserve">   </w:t>
            </w:r>
            <w:r>
              <w:rPr>
                <w:rFonts w:hint="eastAsia" w:ascii="宋体" w:hAnsi="宋体" w:eastAsia="宋体" w:cs="Times New Roman"/>
                <w:color w:val="auto"/>
                <w:spacing w:val="-6"/>
                <w:sz w:val="21"/>
                <w:szCs w:val="21"/>
                <w:highlight w:val="none"/>
              </w:rPr>
              <w:t>月</w:t>
            </w:r>
            <w:r>
              <w:rPr>
                <w:rFonts w:hint="eastAsia" w:ascii="宋体" w:hAnsi="宋体" w:eastAsia="宋体" w:cs="Times New Roman"/>
                <w:color w:val="auto"/>
                <w:spacing w:val="-6"/>
                <w:sz w:val="21"/>
                <w:szCs w:val="21"/>
                <w:highlight w:val="none"/>
                <w:lang w:val="en-US" w:eastAsia="zh-CN"/>
              </w:rPr>
              <w:t xml:space="preserve"> </w:t>
            </w:r>
            <w:r>
              <w:rPr>
                <w:rFonts w:hint="eastAsia" w:ascii="宋体" w:hAnsi="宋体" w:eastAsia="宋体" w:cs="Times New Roman"/>
                <w:color w:val="auto"/>
                <w:spacing w:val="-6"/>
                <w:sz w:val="21"/>
                <w:szCs w:val="21"/>
                <w:highlight w:val="none"/>
                <w:u w:val="single"/>
                <w:lang w:val="en-US" w:eastAsia="zh-CN"/>
              </w:rPr>
              <w:t xml:space="preserve">  </w:t>
            </w:r>
            <w:r>
              <w:rPr>
                <w:rFonts w:hint="eastAsia" w:ascii="宋体" w:hAnsi="宋体" w:eastAsia="宋体" w:cs="Times New Roman"/>
                <w:color w:val="auto"/>
                <w:spacing w:val="-6"/>
                <w:sz w:val="21"/>
                <w:szCs w:val="21"/>
                <w:highlight w:val="none"/>
              </w:rPr>
              <w:t>日（</w:t>
            </w:r>
            <w:r>
              <w:rPr>
                <w:rFonts w:hint="eastAsia" w:ascii="宋体" w:hAnsi="宋体" w:eastAsia="宋体" w:cs="Times New Roman"/>
                <w:color w:val="auto"/>
                <w:spacing w:val="-6"/>
                <w:sz w:val="21"/>
                <w:szCs w:val="21"/>
                <w:highlight w:val="none"/>
                <w:lang w:val="en-US" w:eastAsia="zh-CN"/>
              </w:rPr>
              <w:t>周一，</w:t>
            </w:r>
            <w:r>
              <w:rPr>
                <w:rFonts w:hint="eastAsia" w:ascii="宋体" w:hAnsi="宋体" w:eastAsia="宋体" w:cs="Times New Roman"/>
                <w:color w:val="auto"/>
                <w:spacing w:val="-6"/>
                <w:sz w:val="21"/>
                <w:szCs w:val="21"/>
                <w:highlight w:val="none"/>
              </w:rPr>
              <w:t>招标公告发布之日至投标截止之日)在“浙江省建筑市场监管公共服务系统”上，参与投标资质的“资质动态核查结果证明”；</w:t>
            </w:r>
          </w:p>
          <w:p>
            <w:pPr>
              <w:pStyle w:val="2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400" w:lineRule="exact"/>
              <w:ind w:firstLine="0" w:firstLineChars="0"/>
              <w:jc w:val="both"/>
              <w:textAlignment w:val="auto"/>
              <w:rPr>
                <w:rFonts w:hint="eastAsia" w:eastAsia="宋体" w:cs="Times New Roman"/>
                <w:bCs/>
                <w:color w:val="auto"/>
                <w:sz w:val="21"/>
                <w:szCs w:val="21"/>
                <w:highlight w:val="none"/>
                <w:lang w:eastAsia="zh-CN"/>
              </w:rPr>
            </w:pPr>
            <w:r>
              <w:rPr>
                <w:rFonts w:hint="eastAsia" w:cs="Times New Roman"/>
                <w:color w:val="auto"/>
                <w:sz w:val="21"/>
                <w:szCs w:val="21"/>
                <w:highlight w:val="none"/>
              </w:rPr>
              <w:t>2.</w:t>
            </w:r>
            <w:r>
              <w:rPr>
                <w:rFonts w:hint="eastAsia" w:cs="Times New Roman"/>
                <w:bCs/>
                <w:color w:val="auto"/>
                <w:sz w:val="21"/>
                <w:szCs w:val="21"/>
                <w:highlight w:val="none"/>
              </w:rPr>
              <w:t>法定代表人身份证明书、企业主要负责人（法定代表人、企业经理、企业分管安全生产的副经理、企业技术负责人）专职安全生产管理人员A类证书以及企业经理、企业分管安全生产的副经理、企业技术负责人任命书的复印件</w:t>
            </w:r>
            <w:r>
              <w:rPr>
                <w:rFonts w:hint="eastAsia" w:cs="Times New Roman"/>
                <w:bCs/>
                <w:color w:val="auto"/>
                <w:sz w:val="21"/>
                <w:szCs w:val="21"/>
                <w:highlight w:val="none"/>
                <w:lang w:eastAsia="zh-CN"/>
              </w:rPr>
              <w:t>；</w:t>
            </w:r>
          </w:p>
          <w:p>
            <w:pPr>
              <w:pStyle w:val="2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400" w:lineRule="exact"/>
              <w:ind w:firstLine="0" w:firstLineChars="0"/>
              <w:jc w:val="both"/>
              <w:textAlignment w:val="auto"/>
              <w:rPr>
                <w:rFonts w:cs="Times New Roman"/>
                <w:bCs/>
                <w:iCs/>
                <w:color w:val="auto"/>
                <w:sz w:val="21"/>
                <w:szCs w:val="21"/>
                <w:highlight w:val="none"/>
              </w:rPr>
            </w:pPr>
            <w:r>
              <w:rPr>
                <w:rFonts w:hint="eastAsia" w:cs="Times New Roman"/>
                <w:bCs/>
                <w:color w:val="auto"/>
                <w:sz w:val="21"/>
                <w:szCs w:val="21"/>
                <w:highlight w:val="none"/>
              </w:rPr>
              <w:t>3.拟派项目负责人建造师执业资格，同时具有专职安全生产管理人员B类证书复制件。建造师以浙江省建筑市场监管与诚信信息发布平台信息，或注册执业证书，或建设主管部门相关证明材料为准。</w:t>
            </w:r>
            <w:r>
              <w:rPr>
                <w:rFonts w:hint="eastAsia"/>
                <w:color w:val="auto"/>
                <w:sz w:val="21"/>
                <w:szCs w:val="21"/>
                <w:highlight w:val="none"/>
                <w:u w:val="none"/>
              </w:rPr>
              <w:t>须提供缴费期限包含</w:t>
            </w:r>
            <w:r>
              <w:rPr>
                <w:rFonts w:hint="eastAsia"/>
                <w:color w:val="auto"/>
                <w:sz w:val="21"/>
                <w:szCs w:val="21"/>
                <w:highlight w:val="none"/>
                <w:u w:val="none"/>
                <w:lang w:eastAsia="zh-CN"/>
              </w:rPr>
              <w:t>2024年1月至2024年3月</w:t>
            </w:r>
            <w:r>
              <w:rPr>
                <w:rFonts w:hint="eastAsia"/>
                <w:color w:val="auto"/>
                <w:sz w:val="21"/>
                <w:szCs w:val="21"/>
                <w:highlight w:val="none"/>
                <w:u w:val="none"/>
              </w:rPr>
              <w:t>的投标人所属社保机构养老保险交纳清单或证明【缴费单位和投标单位名称必须一致，非独立法人的分公司社保，也予以认可，并加盖社保缴费证明专用章（或电子专用章）】。若项目负责人为事业编制的，须提供缴费期限包含</w:t>
            </w:r>
            <w:r>
              <w:rPr>
                <w:rFonts w:hint="eastAsia"/>
                <w:color w:val="auto"/>
                <w:sz w:val="21"/>
                <w:szCs w:val="21"/>
                <w:highlight w:val="none"/>
                <w:u w:val="none"/>
                <w:lang w:eastAsia="zh-CN"/>
              </w:rPr>
              <w:t>2024年1月至2024年3月</w:t>
            </w:r>
            <w:r>
              <w:rPr>
                <w:rFonts w:hint="eastAsia"/>
                <w:color w:val="auto"/>
                <w:sz w:val="21"/>
                <w:szCs w:val="21"/>
                <w:highlight w:val="none"/>
                <w:u w:val="none"/>
              </w:rPr>
              <w:t>由人事代理中心出具的社保证明（需加盖人事代理中心证明专用章）。</w:t>
            </w:r>
          </w:p>
          <w:p>
            <w:pPr>
              <w:pStyle w:val="2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400" w:lineRule="exact"/>
              <w:ind w:firstLine="0" w:firstLineChars="0"/>
              <w:jc w:val="both"/>
              <w:textAlignment w:val="auto"/>
              <w:rPr>
                <w:rFonts w:cs="Times New Roman"/>
                <w:bCs/>
                <w:color w:val="auto"/>
                <w:sz w:val="21"/>
                <w:szCs w:val="21"/>
                <w:highlight w:val="none"/>
              </w:rPr>
            </w:pPr>
            <w:r>
              <w:rPr>
                <w:rFonts w:hint="eastAsia" w:cs="Times New Roman"/>
                <w:bCs/>
                <w:color w:val="auto"/>
                <w:sz w:val="21"/>
                <w:szCs w:val="21"/>
                <w:highlight w:val="none"/>
              </w:rPr>
              <w:t>4.施工现场专职安全生产管理人员有效的专职安全生产管理人员C类证书复制件。</w:t>
            </w:r>
            <w:r>
              <w:rPr>
                <w:rFonts w:hint="eastAsia" w:ascii="宋体" w:hAnsi="宋体"/>
                <w:bCs/>
                <w:color w:val="auto"/>
                <w:sz w:val="21"/>
                <w:szCs w:val="21"/>
                <w:highlight w:val="none"/>
                <w:u w:val="single"/>
              </w:rPr>
              <w:t>施工现场专职安全生产管理人员的数量应符合住房和城乡建设部《建筑施工企业安全生产管理机构设置及专职安全生产管理人员配备办法》（建质﹝2008﹞91号）的规定，专职安全生产管理人员不少于4人</w:t>
            </w:r>
            <w:r>
              <w:rPr>
                <w:rFonts w:hint="eastAsia" w:ascii="宋体" w:hAnsi="宋体"/>
                <w:bCs/>
                <w:color w:val="auto"/>
                <w:sz w:val="21"/>
                <w:szCs w:val="21"/>
                <w:highlight w:val="none"/>
              </w:rPr>
              <w:t>。</w:t>
            </w:r>
          </w:p>
          <w:p>
            <w:pPr>
              <w:pStyle w:val="2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400" w:lineRule="exact"/>
              <w:ind w:firstLine="0" w:firstLineChars="0"/>
              <w:jc w:val="both"/>
              <w:textAlignment w:val="auto"/>
              <w:rPr>
                <w:rFonts w:cs="Times New Roman"/>
                <w:bCs/>
                <w:color w:val="auto"/>
                <w:sz w:val="21"/>
                <w:szCs w:val="21"/>
                <w:highlight w:val="none"/>
              </w:rPr>
            </w:pPr>
            <w:r>
              <w:rPr>
                <w:rFonts w:hint="eastAsia" w:cs="Times New Roman"/>
                <w:bCs/>
                <w:color w:val="auto"/>
                <w:sz w:val="21"/>
                <w:szCs w:val="21"/>
                <w:highlight w:val="none"/>
              </w:rPr>
              <w:t>5.联合体各方签订的共同投标协议（联合体投标的提供）。</w:t>
            </w:r>
          </w:p>
          <w:p>
            <w:pPr>
              <w:pStyle w:val="2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400" w:lineRule="exact"/>
              <w:ind w:firstLine="0" w:firstLineChars="0"/>
              <w:jc w:val="both"/>
              <w:textAlignment w:val="auto"/>
              <w:rPr>
                <w:rFonts w:cs="Times New Roman"/>
                <w:bCs/>
                <w:color w:val="auto"/>
                <w:sz w:val="21"/>
                <w:szCs w:val="21"/>
                <w:highlight w:val="none"/>
              </w:rPr>
            </w:pPr>
            <w:r>
              <w:rPr>
                <w:rFonts w:hint="eastAsia" w:cs="Times New Roman"/>
                <w:bCs/>
                <w:color w:val="auto"/>
                <w:sz w:val="21"/>
                <w:szCs w:val="21"/>
                <w:highlight w:val="none"/>
              </w:rPr>
              <w:t>6.授权委托书（若有）。</w:t>
            </w:r>
          </w:p>
          <w:p>
            <w:pPr>
              <w:pStyle w:val="28"/>
              <w:shd w:val="clear" w:color="auto" w:fill="FFFFFF"/>
              <w:kinsoku w:val="0"/>
              <w:snapToGrid w:val="0"/>
              <w:spacing w:line="400" w:lineRule="exact"/>
              <w:ind w:firstLine="0" w:firstLineChars="0"/>
              <w:jc w:val="both"/>
              <w:rPr>
                <w:rFonts w:cs="Times New Roman"/>
                <w:bCs/>
                <w:color w:val="auto"/>
                <w:sz w:val="21"/>
                <w:szCs w:val="21"/>
                <w:highlight w:val="none"/>
              </w:rPr>
            </w:pPr>
            <w:r>
              <w:rPr>
                <w:rFonts w:hint="eastAsia" w:cs="Times New Roman"/>
                <w:bCs/>
                <w:color w:val="auto"/>
                <w:sz w:val="21"/>
                <w:szCs w:val="21"/>
                <w:highlight w:val="none"/>
              </w:rPr>
              <w:t>7.投标承诺书。</w:t>
            </w:r>
          </w:p>
          <w:p>
            <w:pPr>
              <w:pStyle w:val="28"/>
              <w:shd w:val="clear" w:color="auto" w:fill="FFFFFF"/>
              <w:kinsoku w:val="0"/>
              <w:snapToGrid w:val="0"/>
              <w:spacing w:line="400" w:lineRule="exact"/>
              <w:ind w:firstLine="0" w:firstLineChars="0"/>
              <w:jc w:val="both"/>
              <w:rPr>
                <w:rFonts w:cs="Times New Roman"/>
                <w:bCs/>
                <w:color w:val="auto"/>
                <w:sz w:val="21"/>
                <w:szCs w:val="21"/>
                <w:highlight w:val="none"/>
              </w:rPr>
            </w:pPr>
            <w:r>
              <w:rPr>
                <w:rFonts w:hint="eastAsia" w:cs="Times New Roman"/>
                <w:bCs/>
                <w:color w:val="auto"/>
                <w:sz w:val="21"/>
                <w:szCs w:val="21"/>
                <w:highlight w:val="none"/>
              </w:rPr>
              <w:t>8.投标保证金缴纳证明资料（银行转账记录或银行保函或投标保险保单</w:t>
            </w:r>
            <w:r>
              <w:rPr>
                <w:rFonts w:hint="eastAsia" w:cs="Times New Roman"/>
                <w:bCs/>
                <w:strike/>
                <w:color w:val="auto"/>
                <w:sz w:val="21"/>
                <w:szCs w:val="21"/>
                <w:highlight w:val="none"/>
              </w:rPr>
              <w:t>或年度（联保）保证金证明</w:t>
            </w:r>
            <w:r>
              <w:rPr>
                <w:rFonts w:hint="eastAsia" w:cs="Times New Roman"/>
                <w:bCs/>
                <w:color w:val="auto"/>
                <w:sz w:val="21"/>
                <w:szCs w:val="21"/>
                <w:highlight w:val="none"/>
              </w:rPr>
              <w:t>）。</w:t>
            </w:r>
          </w:p>
          <w:p>
            <w:pPr>
              <w:pStyle w:val="28"/>
              <w:kinsoku w:val="0"/>
              <w:snapToGrid w:val="0"/>
              <w:spacing w:line="400" w:lineRule="exact"/>
              <w:ind w:firstLine="0" w:firstLineChars="0"/>
              <w:jc w:val="both"/>
              <w:rPr>
                <w:rFonts w:cs="Times New Roman"/>
                <w:b/>
                <w:color w:val="auto"/>
                <w:sz w:val="21"/>
                <w:szCs w:val="21"/>
                <w:highlight w:val="none"/>
                <w:u w:val="single"/>
              </w:rPr>
            </w:pPr>
            <w:r>
              <w:rPr>
                <w:rFonts w:hint="eastAsia" w:cs="Times New Roman"/>
                <w:bCs/>
                <w:color w:val="auto"/>
                <w:sz w:val="21"/>
                <w:szCs w:val="21"/>
                <w:highlight w:val="none"/>
              </w:rPr>
              <w:t>9.</w:t>
            </w:r>
            <w:r>
              <w:rPr>
                <w:rFonts w:hint="eastAsia"/>
                <w:color w:val="auto"/>
                <w:sz w:val="21"/>
                <w:szCs w:val="21"/>
                <w:highlight w:val="none"/>
              </w:rPr>
              <w:t>☑</w:t>
            </w:r>
            <w:r>
              <w:rPr>
                <w:rFonts w:hint="eastAsia" w:cs="Times New Roman"/>
                <w:b/>
                <w:color w:val="auto"/>
                <w:sz w:val="21"/>
                <w:szCs w:val="21"/>
                <w:highlight w:val="none"/>
                <w:u w:val="single"/>
              </w:rPr>
              <w:t>业绩证明材料。</w:t>
            </w:r>
          </w:p>
        </w:tc>
      </w:tr>
      <w:tr>
        <w:tblPrEx>
          <w:tblCellMar>
            <w:top w:w="0" w:type="dxa"/>
            <w:left w:w="57" w:type="dxa"/>
            <w:bottom w:w="0" w:type="dxa"/>
            <w:right w:w="57" w:type="dxa"/>
          </w:tblCellMar>
        </w:tblPrEx>
        <w:trPr>
          <w:trHeight w:val="695"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103"/>
              <w:jc w:val="center"/>
              <w:rPr>
                <w:rFonts w:ascii="宋体" w:hAnsi="宋体"/>
                <w:color w:val="auto"/>
                <w:sz w:val="21"/>
                <w:szCs w:val="21"/>
                <w:highlight w:val="none"/>
              </w:rPr>
            </w:pPr>
            <w:r>
              <w:rPr>
                <w:rFonts w:hint="eastAsia" w:ascii="宋体" w:hAnsi="宋体"/>
                <w:color w:val="auto"/>
                <w:sz w:val="21"/>
                <w:szCs w:val="21"/>
                <w:highlight w:val="none"/>
              </w:rPr>
              <w:t>3.7.3</w:t>
            </w:r>
          </w:p>
          <w:p>
            <w:pPr>
              <w:pStyle w:val="26"/>
              <w:kinsoku w:val="0"/>
              <w:spacing w:line="400" w:lineRule="exact"/>
              <w:ind w:left="103"/>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电子投标文件</w:t>
            </w:r>
          </w:p>
          <w:p>
            <w:pPr>
              <w:pStyle w:val="26"/>
              <w:kinsoku w:val="0"/>
              <w:spacing w:line="400" w:lineRule="exact"/>
              <w:jc w:val="center"/>
              <w:rPr>
                <w:color w:val="auto"/>
                <w:sz w:val="21"/>
                <w:szCs w:val="21"/>
                <w:highlight w:val="none"/>
              </w:rPr>
            </w:pPr>
            <w:r>
              <w:rPr>
                <w:rFonts w:hint="eastAsia" w:ascii="宋体"/>
                <w:color w:val="auto"/>
                <w:sz w:val="21"/>
                <w:szCs w:val="21"/>
                <w:highlight w:val="none"/>
              </w:rPr>
              <w:t>盖章要求</w:t>
            </w:r>
          </w:p>
        </w:tc>
        <w:tc>
          <w:tcPr>
            <w:tcW w:w="6729" w:type="dxa"/>
            <w:tcBorders>
              <w:top w:val="single" w:color="000000" w:sz="4" w:space="0"/>
              <w:left w:val="nil"/>
              <w:bottom w:val="single" w:color="000000" w:sz="4" w:space="0"/>
              <w:right w:val="single" w:color="000000" w:sz="4" w:space="0"/>
            </w:tcBorders>
          </w:tcPr>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1.投标文件格式文件要求投标人盖章、法定代表人</w:t>
            </w:r>
            <w:r>
              <w:rPr>
                <w:rFonts w:hint="eastAsia"/>
                <w:color w:val="auto"/>
                <w:sz w:val="21"/>
                <w:szCs w:val="21"/>
                <w:highlight w:val="none"/>
              </w:rPr>
              <w:t>签字或盖章</w:t>
            </w:r>
            <w:r>
              <w:rPr>
                <w:rFonts w:hint="eastAsia" w:ascii="宋体" w:hAnsi="宋体"/>
                <w:color w:val="auto"/>
                <w:sz w:val="21"/>
                <w:szCs w:val="21"/>
                <w:highlight w:val="none"/>
              </w:rPr>
              <w:t>的地方，投标人均应使用CA数字证书加盖投标人的单位电子印章、法定代表人个人电子印章。联合体投标的，除联合体协议书格式之外的仅由联合体牵头人加盖单位电子印章、法定代表人个人电子印章即可。</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2.☑投标文件所附证书证件、业绩证明文件、投标保证金等证明材料用原件扫描件并加盖投标单位电子印章。</w:t>
            </w:r>
          </w:p>
        </w:tc>
      </w:tr>
      <w:tr>
        <w:tblPrEx>
          <w:tblCellMar>
            <w:top w:w="0" w:type="dxa"/>
            <w:left w:w="57" w:type="dxa"/>
            <w:bottom w:w="0" w:type="dxa"/>
            <w:right w:w="57" w:type="dxa"/>
          </w:tblCellMar>
        </w:tblPrEx>
        <w:trPr>
          <w:trHeight w:val="969"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103"/>
              <w:jc w:val="center"/>
              <w:rPr>
                <w:rFonts w:ascii="宋体" w:hAnsi="宋体"/>
                <w:color w:val="auto"/>
                <w:sz w:val="21"/>
                <w:szCs w:val="21"/>
                <w:highlight w:val="none"/>
              </w:rPr>
            </w:pPr>
            <w:r>
              <w:rPr>
                <w:rFonts w:hint="eastAsia" w:ascii="宋体" w:hAnsi="宋体"/>
                <w:color w:val="auto"/>
                <w:sz w:val="21"/>
                <w:szCs w:val="21"/>
                <w:highlight w:val="none"/>
              </w:rPr>
              <w:t>3.7.3</w:t>
            </w:r>
          </w:p>
          <w:p>
            <w:pPr>
              <w:pStyle w:val="26"/>
              <w:kinsoku w:val="0"/>
              <w:spacing w:line="400" w:lineRule="exact"/>
              <w:ind w:left="103"/>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电子投标文件</w:t>
            </w:r>
          </w:p>
          <w:p>
            <w:pPr>
              <w:pStyle w:val="26"/>
              <w:kinsoku w:val="0"/>
              <w:spacing w:line="400" w:lineRule="exact"/>
              <w:jc w:val="center"/>
              <w:rPr>
                <w:rFonts w:eastAsia="Times New Roman"/>
                <w:color w:val="auto"/>
                <w:sz w:val="21"/>
                <w:szCs w:val="21"/>
                <w:highlight w:val="none"/>
              </w:rPr>
            </w:pPr>
            <w:r>
              <w:rPr>
                <w:rFonts w:hint="eastAsia" w:ascii="宋体"/>
                <w:color w:val="auto"/>
                <w:sz w:val="21"/>
                <w:szCs w:val="21"/>
                <w:highlight w:val="none"/>
              </w:rPr>
              <w:t>的制作</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300" w:lineRule="auto"/>
              <w:rPr>
                <w:rFonts w:ascii="宋体" w:hAnsi="宋体"/>
                <w:color w:val="auto"/>
                <w:sz w:val="21"/>
                <w:szCs w:val="21"/>
                <w:highlight w:val="none"/>
                <w:u w:val="single"/>
              </w:rPr>
            </w:pPr>
            <w:r>
              <w:rPr>
                <w:rFonts w:hint="eastAsia" w:ascii="宋体" w:hAnsi="宋体" w:cs="宋体"/>
                <w:b/>
                <w:bCs/>
                <w:color w:val="auto"/>
                <w:sz w:val="21"/>
                <w:szCs w:val="21"/>
                <w:highlight w:val="none"/>
                <w:u w:val="single"/>
              </w:rPr>
              <w:t>电子投标的项目，在投标截止时间前，将由“新点投标文件制作软件（绍兴地区通用版）”制作生成的加密投标文件上传至越城区公共资源交易中心电子招投标交易平台。</w:t>
            </w:r>
          </w:p>
          <w:p>
            <w:pPr>
              <w:pStyle w:val="26"/>
              <w:kinsoku w:val="0"/>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其他：/。</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103"/>
              <w:jc w:val="center"/>
              <w:rPr>
                <w:rFonts w:ascii="宋体" w:hAnsi="宋体"/>
                <w:color w:val="auto"/>
                <w:sz w:val="21"/>
                <w:szCs w:val="21"/>
                <w:highlight w:val="none"/>
              </w:rPr>
            </w:pPr>
            <w:r>
              <w:rPr>
                <w:rFonts w:hint="eastAsia" w:ascii="Wingdings 2" w:hAnsi="Wingdings 2"/>
                <w:color w:val="auto"/>
                <w:sz w:val="21"/>
                <w:szCs w:val="21"/>
                <w:highlight w:val="none"/>
              </w:rPr>
              <w:sym w:font="Wingdings 2" w:char="0052"/>
            </w:r>
            <w:r>
              <w:rPr>
                <w:rFonts w:hint="eastAsia" w:ascii="宋体" w:hAnsi="宋体"/>
                <w:color w:val="auto"/>
                <w:sz w:val="21"/>
                <w:szCs w:val="21"/>
                <w:highlight w:val="none"/>
              </w:rPr>
              <w:t>3.7.4</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74"/>
              <w:jc w:val="center"/>
              <w:rPr>
                <w:rFonts w:ascii="宋体"/>
                <w:color w:val="auto"/>
                <w:sz w:val="21"/>
                <w:szCs w:val="21"/>
                <w:highlight w:val="none"/>
              </w:rPr>
            </w:pPr>
            <w:r>
              <w:rPr>
                <w:rFonts w:hint="eastAsia" w:ascii="宋体"/>
                <w:color w:val="auto"/>
                <w:sz w:val="21"/>
                <w:szCs w:val="21"/>
                <w:highlight w:val="none"/>
              </w:rPr>
              <w:t>业绩证明文件</w:t>
            </w:r>
          </w:p>
          <w:p>
            <w:pPr>
              <w:pStyle w:val="26"/>
              <w:kinsoku w:val="0"/>
              <w:spacing w:line="400" w:lineRule="exact"/>
              <w:ind w:right="74"/>
              <w:jc w:val="center"/>
              <w:rPr>
                <w:rFonts w:ascii="宋体"/>
                <w:color w:val="auto"/>
                <w:sz w:val="21"/>
                <w:szCs w:val="21"/>
                <w:highlight w:val="none"/>
              </w:rPr>
            </w:pPr>
            <w:r>
              <w:rPr>
                <w:rFonts w:hint="eastAsia" w:ascii="宋体"/>
                <w:color w:val="auto"/>
                <w:sz w:val="21"/>
                <w:szCs w:val="21"/>
                <w:highlight w:val="none"/>
              </w:rPr>
              <w:t>要求</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☑业绩汇总表须按所附证明材料如实填写。</w:t>
            </w:r>
          </w:p>
          <w:p>
            <w:pPr>
              <w:pStyle w:val="26"/>
              <w:kinsoku w:val="0"/>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其他：/。</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103"/>
              <w:jc w:val="center"/>
              <w:rPr>
                <w:rFonts w:ascii="宋体" w:hAnsi="宋体"/>
                <w:color w:val="auto"/>
                <w:sz w:val="21"/>
                <w:szCs w:val="21"/>
                <w:highlight w:val="none"/>
              </w:rPr>
            </w:pPr>
            <w:r>
              <w:rPr>
                <w:rFonts w:hint="eastAsia" w:ascii="宋体" w:hAnsi="宋体"/>
                <w:color w:val="auto"/>
                <w:sz w:val="21"/>
                <w:szCs w:val="21"/>
                <w:highlight w:val="none"/>
              </w:rPr>
              <w:t>4.1.1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eastAsia="Times New Roman"/>
                <w:color w:val="auto"/>
                <w:sz w:val="21"/>
                <w:szCs w:val="21"/>
                <w:highlight w:val="none"/>
              </w:rPr>
            </w:pPr>
            <w:r>
              <w:rPr>
                <w:rFonts w:hint="eastAsia" w:ascii="宋体"/>
                <w:color w:val="auto"/>
                <w:sz w:val="21"/>
                <w:szCs w:val="21"/>
                <w:highlight w:val="none"/>
              </w:rPr>
              <w:t>电子投标文件加密要求</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kern w:val="2"/>
                <w:sz w:val="21"/>
                <w:szCs w:val="21"/>
                <w:highlight w:val="none"/>
              </w:rPr>
              <w:t>使用投标工具软件编制生成的电子投标文件。</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4.2.1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投标截止时间/电子投标文件上传截止时间</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年 </w:t>
            </w:r>
            <w:r>
              <w:rPr>
                <w:rFonts w:hint="eastAsia" w:ascii="宋体" w:hAnsi="宋体"/>
                <w:color w:val="auto"/>
                <w:sz w:val="21"/>
                <w:szCs w:val="21"/>
                <w:highlight w:val="none"/>
                <w:u w:val="single"/>
              </w:rPr>
              <w:tab/>
            </w:r>
            <w:r>
              <w:rPr>
                <w:rFonts w:hint="eastAsia" w:ascii="宋体" w:hAnsi="宋体"/>
                <w:color w:val="auto"/>
                <w:spacing w:val="-3"/>
                <w:sz w:val="21"/>
                <w:szCs w:val="21"/>
                <w:highlight w:val="none"/>
              </w:rPr>
              <w:t>月</w:t>
            </w:r>
            <w:r>
              <w:rPr>
                <w:rFonts w:hint="eastAsia" w:ascii="宋体" w:hAnsi="宋体"/>
                <w:color w:val="auto"/>
                <w:spacing w:val="-3"/>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分。</w:t>
            </w:r>
          </w:p>
        </w:tc>
      </w:tr>
      <w:tr>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103"/>
              <w:jc w:val="center"/>
              <w:rPr>
                <w:rFonts w:ascii="宋体" w:hAnsi="宋体"/>
                <w:color w:val="auto"/>
                <w:sz w:val="21"/>
                <w:szCs w:val="21"/>
                <w:highlight w:val="none"/>
              </w:rPr>
            </w:pPr>
            <w:r>
              <w:rPr>
                <w:rFonts w:hint="eastAsia" w:ascii="宋体" w:hAnsi="宋体"/>
                <w:color w:val="auto"/>
                <w:sz w:val="21"/>
                <w:szCs w:val="21"/>
                <w:highlight w:val="none"/>
              </w:rPr>
              <w:t>4.2.2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电子投标文件上传平台</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u w:val="single"/>
              </w:rPr>
            </w:pPr>
            <w:r>
              <w:rPr>
                <w:rFonts w:hint="eastAsia" w:ascii="宋体" w:hAnsi="宋体"/>
                <w:iCs/>
                <w:color w:val="auto"/>
                <w:sz w:val="21"/>
                <w:szCs w:val="21"/>
                <w:highlight w:val="none"/>
              </w:rPr>
              <w:t>使用专用密钥上传至</w:t>
            </w:r>
            <w:r>
              <w:rPr>
                <w:rFonts w:hint="eastAsia" w:ascii="宋体" w:hAnsi="宋体"/>
                <w:iCs/>
                <w:color w:val="auto"/>
                <w:sz w:val="21"/>
                <w:szCs w:val="21"/>
                <w:highlight w:val="none"/>
                <w:u w:val="single"/>
              </w:rPr>
              <w:t xml:space="preserve"> 越城区公共资源交易平台（http://ztb.sxyc.gov.cn/TPBidder） </w:t>
            </w:r>
          </w:p>
        </w:tc>
      </w:tr>
      <w:tr>
        <w:trPr>
          <w:trHeight w:val="134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4.2.3</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投标文件退还</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投标截止时间止，存在以下情形之一的不予开标：</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1.递交投标文件的投标人少于3个的；</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2.其他：</w:t>
            </w:r>
            <w:r>
              <w:rPr>
                <w:rFonts w:hint="eastAsia"/>
                <w:b/>
                <w:bCs/>
                <w:color w:val="auto"/>
                <w:sz w:val="21"/>
                <w:szCs w:val="21"/>
                <w:highlight w:val="none"/>
                <w:u w:val="single"/>
              </w:rPr>
              <w:t>法律、法规、规章规定的其</w:t>
            </w:r>
            <w:r>
              <w:rPr>
                <w:rFonts w:hint="eastAsia" w:ascii="宋体" w:hAnsi="宋体"/>
                <w:b/>
                <w:bCs/>
                <w:color w:val="auto"/>
                <w:sz w:val="21"/>
                <w:szCs w:val="21"/>
                <w:highlight w:val="none"/>
                <w:u w:val="single"/>
              </w:rPr>
              <w:t>他情形</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tc>
      </w:tr>
      <w:tr>
        <w:tblPrEx>
          <w:tblCellMar>
            <w:top w:w="0" w:type="dxa"/>
            <w:left w:w="57" w:type="dxa"/>
            <w:bottom w:w="0" w:type="dxa"/>
            <w:right w:w="57" w:type="dxa"/>
          </w:tblCellMar>
        </w:tblPrEx>
        <w:trPr>
          <w:trHeight w:val="757"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4.2.5</w:t>
            </w:r>
          </w:p>
        </w:tc>
        <w:tc>
          <w:tcPr>
            <w:tcW w:w="1826"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color w:val="auto"/>
                <w:sz w:val="21"/>
                <w:szCs w:val="21"/>
                <w:highlight w:val="none"/>
              </w:rPr>
            </w:pPr>
            <w:r>
              <w:rPr>
                <w:rFonts w:hint="eastAsia"/>
                <w:color w:val="auto"/>
                <w:sz w:val="21"/>
                <w:szCs w:val="21"/>
                <w:highlight w:val="none"/>
              </w:rPr>
              <w:t>电子投标文件的拒收情形</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1.投标截止时间后送达（上传）的投标文件、未按招标文件要求上传的；</w:t>
            </w:r>
          </w:p>
          <w:p>
            <w:pPr>
              <w:snapToGrid w:val="0"/>
              <w:spacing w:line="400" w:lineRule="exact"/>
              <w:rPr>
                <w:rFonts w:ascii="宋体" w:hAnsi="宋体"/>
                <w:color w:val="auto"/>
                <w:sz w:val="21"/>
                <w:szCs w:val="21"/>
                <w:highlight w:val="none"/>
              </w:rPr>
            </w:pPr>
            <w:r>
              <w:rPr>
                <w:rFonts w:hint="eastAsia" w:ascii="宋体" w:hAnsi="宋体"/>
                <w:color w:val="auto"/>
                <w:spacing w:val="-5"/>
                <w:sz w:val="21"/>
                <w:szCs w:val="21"/>
                <w:highlight w:val="none"/>
              </w:rPr>
              <w:t>2.投标人未按规定加密的投标文件，应当拒收并提示。</w:t>
            </w:r>
            <w:r>
              <w:rPr>
                <w:rFonts w:ascii="Arial" w:hAnsi="Arial" w:cs="Arial"/>
                <w:color w:val="auto"/>
                <w:sz w:val="21"/>
                <w:szCs w:val="21"/>
                <w:highlight w:val="none"/>
              </w:rPr>
              <w:br w:type="textWrapping"/>
            </w:r>
            <w:r>
              <w:rPr>
                <w:rFonts w:hint="eastAsia" w:ascii="宋体" w:hAnsi="宋体"/>
                <w:color w:val="auto"/>
                <w:sz w:val="21"/>
                <w:szCs w:val="21"/>
                <w:highlight w:val="none"/>
              </w:rPr>
              <w:t>3.</w:t>
            </w:r>
            <w:r>
              <w:rPr>
                <w:rFonts w:hint="eastAsia" w:ascii="宋体" w:hAnsi="宋体"/>
                <w:color w:val="auto"/>
                <w:spacing w:val="-5"/>
                <w:sz w:val="21"/>
                <w:szCs w:val="21"/>
                <w:highlight w:val="none"/>
              </w:rPr>
              <w:t>存在下列情况之一的，视为拒收：</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（1）电子投标文件无法解密的；</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（2）电子投标文件解密后无法正确读取的；</w:t>
            </w:r>
          </w:p>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（3）电子投标文件无法导入成功的；</w:t>
            </w:r>
          </w:p>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4.□未被邀请的申请人提交的投标文件</w:t>
            </w:r>
          </w:p>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5.其他:</w:t>
            </w:r>
            <w:r>
              <w:rPr>
                <w:rFonts w:hint="eastAsia"/>
                <w:b/>
                <w:bCs/>
                <w:color w:val="auto"/>
                <w:sz w:val="21"/>
                <w:szCs w:val="21"/>
                <w:highlight w:val="none"/>
                <w:u w:val="single"/>
              </w:rPr>
              <w:t>法律、法规、规章规定的其</w:t>
            </w:r>
            <w:r>
              <w:rPr>
                <w:rFonts w:hint="eastAsia" w:ascii="宋体" w:hAnsi="宋体"/>
                <w:b/>
                <w:bCs/>
                <w:color w:val="auto"/>
                <w:sz w:val="21"/>
                <w:szCs w:val="21"/>
                <w:highlight w:val="none"/>
                <w:u w:val="single"/>
              </w:rPr>
              <w:t>他情形</w:t>
            </w:r>
            <w:r>
              <w:rPr>
                <w:rFonts w:hint="eastAsia" w:ascii="宋体" w:hAnsi="宋体"/>
                <w:color w:val="auto"/>
                <w:sz w:val="21"/>
                <w:szCs w:val="21"/>
                <w:highlight w:val="none"/>
                <w:u w:val="single"/>
              </w:rPr>
              <w:t xml:space="preserve"> </w:t>
            </w:r>
            <w:r>
              <w:rPr>
                <w:rFonts w:hint="eastAsia" w:ascii="宋体" w:hAnsi="宋体"/>
                <w:b/>
                <w:color w:val="auto"/>
                <w:sz w:val="21"/>
                <w:szCs w:val="21"/>
                <w:highlight w:val="none"/>
              </w:rPr>
              <w:t>。</w:t>
            </w:r>
          </w:p>
        </w:tc>
      </w:tr>
      <w:tr>
        <w:tblPrEx>
          <w:tblCellMar>
            <w:top w:w="0" w:type="dxa"/>
            <w:left w:w="57" w:type="dxa"/>
            <w:bottom w:w="0" w:type="dxa"/>
            <w:right w:w="57" w:type="dxa"/>
          </w:tblCellMar>
        </w:tblPrEx>
        <w:trPr>
          <w:trHeight w:val="1113" w:hRule="atLeast"/>
        </w:trPr>
        <w:tc>
          <w:tcPr>
            <w:tcW w:w="1173" w:type="dxa"/>
            <w:tcBorders>
              <w:top w:val="single" w:color="000000" w:sz="4" w:space="0"/>
              <w:left w:val="single" w:color="000000" w:sz="4" w:space="0"/>
              <w:bottom w:val="single" w:color="auto" w:sz="4" w:space="0"/>
              <w:right w:val="single" w:color="000000" w:sz="4" w:space="0"/>
            </w:tcBorders>
            <w:vAlign w:val="center"/>
          </w:tcPr>
          <w:p>
            <w:pPr>
              <w:pStyle w:val="26"/>
              <w:kinsoku w:val="0"/>
              <w:spacing w:line="400" w:lineRule="exact"/>
              <w:ind w:left="103" w:right="-5"/>
              <w:jc w:val="center"/>
              <w:rPr>
                <w:rFonts w:ascii="宋体" w:hAnsi="宋体"/>
                <w:color w:val="auto"/>
                <w:sz w:val="21"/>
                <w:szCs w:val="21"/>
                <w:highlight w:val="none"/>
              </w:rPr>
            </w:pPr>
            <w:r>
              <w:rPr>
                <w:rFonts w:hint="eastAsia" w:ascii="宋体" w:hAnsi="宋体"/>
                <w:color w:val="auto"/>
                <w:sz w:val="21"/>
                <w:szCs w:val="21"/>
                <w:highlight w:val="none"/>
              </w:rPr>
              <w:t>5.1</w:t>
            </w:r>
          </w:p>
        </w:tc>
        <w:tc>
          <w:tcPr>
            <w:tcW w:w="1826" w:type="dxa"/>
            <w:tcBorders>
              <w:top w:val="single" w:color="000000" w:sz="4" w:space="0"/>
              <w:left w:val="nil"/>
              <w:bottom w:val="nil"/>
              <w:right w:val="single" w:color="000000" w:sz="4" w:space="0"/>
            </w:tcBorders>
            <w:vAlign w:val="center"/>
          </w:tcPr>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开标时间和地点</w:t>
            </w:r>
          </w:p>
        </w:tc>
        <w:tc>
          <w:tcPr>
            <w:tcW w:w="6729" w:type="dxa"/>
            <w:tcBorders>
              <w:top w:val="single" w:color="000000" w:sz="4" w:space="0"/>
              <w:left w:val="nil"/>
              <w:bottom w:val="nil"/>
              <w:right w:val="single" w:color="000000" w:sz="4" w:space="0"/>
            </w:tcBorders>
            <w:vAlign w:val="center"/>
          </w:tcPr>
          <w:p>
            <w:pPr>
              <w:pStyle w:val="26"/>
              <w:kinsoku w:val="0"/>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1.开标时间：同电子投标文件上传截止时间。</w:t>
            </w:r>
          </w:p>
          <w:p>
            <w:pPr>
              <w:pStyle w:val="26"/>
              <w:kinsoku w:val="0"/>
              <w:snapToGrid w:val="0"/>
              <w:spacing w:line="400" w:lineRule="exact"/>
              <w:rPr>
                <w:rFonts w:ascii="宋体" w:hAnsi="宋体"/>
                <w:color w:val="auto"/>
                <w:sz w:val="21"/>
                <w:szCs w:val="21"/>
                <w:highlight w:val="none"/>
                <w:shd w:val="clear" w:color="auto" w:fill="FFFFFF"/>
              </w:rPr>
            </w:pPr>
            <w:r>
              <w:rPr>
                <w:rFonts w:hint="eastAsia" w:ascii="宋体" w:hAnsi="宋体"/>
                <w:color w:val="auto"/>
                <w:sz w:val="21"/>
                <w:szCs w:val="21"/>
                <w:highlight w:val="none"/>
              </w:rPr>
              <w:t>2.开标地点：</w:t>
            </w:r>
            <w:r>
              <w:rPr>
                <w:rFonts w:hint="eastAsia" w:ascii="宋体" w:hAnsi="宋体" w:cs="宋体"/>
                <w:b/>
                <w:bCs/>
                <w:color w:val="auto"/>
                <w:sz w:val="21"/>
                <w:szCs w:val="21"/>
                <w:highlight w:val="none"/>
                <w:u w:val="single"/>
                <w:shd w:val="clear" w:color="auto" w:fill="FFFFFF"/>
              </w:rPr>
              <w:t>绍兴市公共资源交易中心越城区分中心三楼指定开标室（绍兴市公共资源交易中心越城区分中心三楼（延安东路660号）</w:t>
            </w:r>
            <w:r>
              <w:rPr>
                <w:rFonts w:hint="eastAsia" w:ascii="宋体" w:hAnsi="宋体"/>
                <w:color w:val="auto"/>
                <w:sz w:val="21"/>
                <w:szCs w:val="21"/>
                <w:highlight w:val="none"/>
              </w:rPr>
              <w:t>。</w:t>
            </w:r>
          </w:p>
          <w:p>
            <w:pPr>
              <w:snapToGrid w:val="0"/>
              <w:spacing w:line="300" w:lineRule="auto"/>
              <w:rPr>
                <w:rFonts w:ascii="宋体" w:hAnsi="宋体"/>
                <w:color w:val="auto"/>
                <w:sz w:val="21"/>
                <w:szCs w:val="21"/>
                <w:highlight w:val="none"/>
                <w:u w:val="single"/>
                <w:shd w:val="clear" w:color="auto" w:fill="FFFFFF"/>
              </w:rPr>
            </w:pPr>
            <w:r>
              <w:rPr>
                <w:rFonts w:hint="eastAsia" w:ascii="宋体" w:hAnsi="宋体"/>
                <w:color w:val="auto"/>
                <w:sz w:val="21"/>
                <w:szCs w:val="21"/>
                <w:highlight w:val="none"/>
                <w:shd w:val="clear" w:color="auto" w:fill="FFFFFF"/>
              </w:rPr>
              <w:t xml:space="preserve">3.开标平台: </w:t>
            </w:r>
            <w:r>
              <w:rPr>
                <w:rFonts w:hint="eastAsia" w:ascii="宋体" w:hAnsi="宋体"/>
                <w:color w:val="auto"/>
                <w:sz w:val="21"/>
                <w:szCs w:val="21"/>
                <w:highlight w:val="none"/>
                <w:u w:val="single"/>
                <w:shd w:val="clear" w:color="auto" w:fill="FFFFFF"/>
              </w:rPr>
              <w:t>本项目采用“不见面”开标方式，不强制要求投标人参加现场开标会。</w:t>
            </w:r>
          </w:p>
          <w:p>
            <w:pPr>
              <w:snapToGrid w:val="0"/>
              <w:spacing w:line="300" w:lineRule="auto"/>
              <w:rPr>
                <w:rFonts w:ascii="宋体" w:hAnsi="宋体" w:cs="宋体"/>
                <w:b/>
                <w:bCs/>
                <w:color w:val="auto"/>
                <w:sz w:val="21"/>
                <w:szCs w:val="21"/>
                <w:highlight w:val="none"/>
                <w:shd w:val="clear" w:color="auto" w:fill="FFFFFF"/>
              </w:rPr>
            </w:pPr>
            <w:r>
              <w:rPr>
                <w:rFonts w:hint="eastAsia" w:ascii="宋体" w:hAnsi="宋体"/>
                <w:color w:val="auto"/>
                <w:sz w:val="21"/>
                <w:szCs w:val="21"/>
                <w:highlight w:val="none"/>
                <w:u w:val="single"/>
                <w:shd w:val="clear" w:color="auto" w:fill="FFFFFF"/>
              </w:rPr>
              <w:t xml:space="preserve"> </w:t>
            </w:r>
            <w:r>
              <w:rPr>
                <w:rFonts w:hint="eastAsia" w:ascii="宋体" w:hAnsi="宋体" w:cs="宋体"/>
                <w:b/>
                <w:bCs/>
                <w:color w:val="auto"/>
                <w:sz w:val="21"/>
                <w:szCs w:val="21"/>
                <w:highlight w:val="none"/>
                <w:u w:val="single"/>
                <w:shd w:val="clear" w:color="auto" w:fill="FFFFFF"/>
              </w:rPr>
              <w:t>不见面开标大厅网址为：</w:t>
            </w:r>
          </w:p>
          <w:p>
            <w:pPr>
              <w:snapToGrid w:val="0"/>
              <w:spacing w:line="300" w:lineRule="auto"/>
              <w:rPr>
                <w:rFonts w:ascii="宋体" w:hAnsi="宋体" w:cs="宋体"/>
                <w:b/>
                <w:bCs/>
                <w:color w:val="auto"/>
                <w:sz w:val="21"/>
                <w:szCs w:val="21"/>
                <w:highlight w:val="none"/>
                <w:u w:val="single"/>
                <w:shd w:val="clear" w:color="auto" w:fill="FFFFFF"/>
              </w:rPr>
            </w:pPr>
            <w:r>
              <w:rPr>
                <w:rFonts w:hint="eastAsia" w:ascii="宋体" w:hAnsi="宋体" w:cs="宋体"/>
                <w:b/>
                <w:bCs/>
                <w:color w:val="auto"/>
                <w:sz w:val="21"/>
                <w:szCs w:val="21"/>
                <w:highlight w:val="none"/>
                <w:u w:val="single"/>
                <w:shd w:val="clear" w:color="auto" w:fill="FFFFFF"/>
              </w:rPr>
              <w:t>（http://</w:t>
            </w:r>
            <w:r>
              <w:rPr>
                <w:rFonts w:hint="eastAsia" w:ascii="宋体" w:hAnsi="宋体"/>
                <w:b/>
                <w:bCs/>
                <w:color w:val="auto"/>
                <w:sz w:val="21"/>
                <w:szCs w:val="21"/>
                <w:highlight w:val="none"/>
                <w:u w:val="single"/>
              </w:rPr>
              <w:t>bjm.sxyc.gov.cn/BidOpening/bidopeninghallaction/hall/login</w:t>
            </w:r>
            <w:r>
              <w:rPr>
                <w:rFonts w:hint="eastAsia" w:ascii="宋体" w:hAnsi="宋体" w:cs="宋体"/>
                <w:b/>
                <w:bCs/>
                <w:color w:val="auto"/>
                <w:sz w:val="21"/>
                <w:szCs w:val="21"/>
                <w:highlight w:val="none"/>
                <w:u w:val="single"/>
                <w:shd w:val="clear" w:color="auto" w:fill="FFFFFF"/>
              </w:rPr>
              <w:t>）</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shd w:val="clear" w:color="auto" w:fill="FFFFFF"/>
              </w:rPr>
              <w:t>4.其他：</w:t>
            </w:r>
            <w:r>
              <w:rPr>
                <w:rFonts w:hint="eastAsia" w:ascii="宋体" w:hAnsi="宋体"/>
                <w:color w:val="auto"/>
                <w:sz w:val="21"/>
                <w:szCs w:val="21"/>
                <w:highlight w:val="none"/>
                <w:u w:val="single"/>
                <w:shd w:val="clear" w:color="auto" w:fill="FFFFFF"/>
              </w:rPr>
              <w:t xml:space="preserve"> </w:t>
            </w:r>
            <w:r>
              <w:rPr>
                <w:rFonts w:hint="eastAsia" w:ascii="宋体" w:hAnsi="宋体" w:cs="宋体"/>
                <w:iCs/>
                <w:color w:val="auto"/>
                <w:sz w:val="21"/>
                <w:szCs w:val="21"/>
                <w:highlight w:val="none"/>
                <w:u w:val="single"/>
                <w:lang w:bidi="ar"/>
              </w:rPr>
              <w:t>因网络、系统、电力等不可抗力因素延期开标的</w:t>
            </w:r>
            <w:r>
              <w:rPr>
                <w:rFonts w:hint="eastAsia" w:ascii="宋体" w:hAnsi="宋体"/>
                <w:color w:val="auto"/>
                <w:sz w:val="21"/>
                <w:szCs w:val="21"/>
                <w:highlight w:val="none"/>
                <w:u w:val="single"/>
                <w:shd w:val="clear" w:color="auto" w:fill="FFFFFF"/>
              </w:rPr>
              <w:t xml:space="preserve">  </w:t>
            </w:r>
            <w:r>
              <w:rPr>
                <w:rFonts w:hint="eastAsia" w:ascii="宋体" w:hAnsi="宋体"/>
                <w:color w:val="auto"/>
                <w:sz w:val="21"/>
                <w:szCs w:val="21"/>
                <w:highlight w:val="none"/>
                <w:shd w:val="clear" w:color="auto" w:fill="FFFFFF"/>
              </w:rPr>
              <w:t>。</w:t>
            </w:r>
          </w:p>
        </w:tc>
      </w:tr>
      <w:tr>
        <w:tblPrEx>
          <w:tblCellMar>
            <w:top w:w="0" w:type="dxa"/>
            <w:left w:w="57" w:type="dxa"/>
            <w:bottom w:w="0" w:type="dxa"/>
            <w:right w:w="57" w:type="dxa"/>
          </w:tblCellMar>
        </w:tblPrEx>
        <w:trPr>
          <w:trHeight w:val="2116" w:hRule="atLeast"/>
        </w:trPr>
        <w:tc>
          <w:tcPr>
            <w:tcW w:w="1173" w:type="dxa"/>
            <w:tcBorders>
              <w:top w:val="single" w:color="auto" w:sz="4" w:space="0"/>
              <w:left w:val="single" w:color="000000" w:sz="4" w:space="0"/>
              <w:bottom w:val="single" w:color="auto" w:sz="4" w:space="0"/>
              <w:right w:val="single" w:color="000000" w:sz="4" w:space="0"/>
            </w:tcBorders>
            <w:vAlign w:val="center"/>
          </w:tcPr>
          <w:p>
            <w:pPr>
              <w:pStyle w:val="26"/>
              <w:kinsoku w:val="0"/>
              <w:spacing w:line="400" w:lineRule="exact"/>
              <w:ind w:left="103" w:right="-5"/>
              <w:jc w:val="center"/>
              <w:rPr>
                <w:rFonts w:ascii="宋体" w:hAnsi="宋体"/>
                <w:color w:val="auto"/>
                <w:sz w:val="21"/>
                <w:szCs w:val="21"/>
                <w:highlight w:val="none"/>
              </w:rPr>
            </w:pPr>
            <w:r>
              <w:rPr>
                <w:rFonts w:hint="eastAsia" w:ascii="宋体" w:hAnsi="宋体"/>
                <w:color w:val="auto"/>
                <w:sz w:val="21"/>
                <w:szCs w:val="21"/>
                <w:highlight w:val="none"/>
              </w:rPr>
              <w:t>5.2</w:t>
            </w:r>
          </w:p>
        </w:tc>
        <w:tc>
          <w:tcPr>
            <w:tcW w:w="1826" w:type="dxa"/>
            <w:tcBorders>
              <w:top w:val="single" w:color="000000" w:sz="4" w:space="0"/>
              <w:left w:val="nil"/>
              <w:bottom w:val="single" w:color="auto" w:sz="4" w:space="0"/>
              <w:right w:val="single" w:color="000000" w:sz="4" w:space="0"/>
            </w:tcBorders>
            <w:vAlign w:val="center"/>
          </w:tcPr>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开标程序</w:t>
            </w:r>
          </w:p>
        </w:tc>
        <w:tc>
          <w:tcPr>
            <w:tcW w:w="6729" w:type="dxa"/>
            <w:tcBorders>
              <w:top w:val="single" w:color="000000" w:sz="4" w:space="0"/>
              <w:left w:val="nil"/>
              <w:bottom w:val="single" w:color="auto"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（一）宣布开标</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（二）公布投标人数量</w:t>
            </w:r>
          </w:p>
          <w:p>
            <w:pPr>
              <w:keepNext w:val="0"/>
              <w:keepLines w:val="0"/>
              <w:pageBreakBefore w:val="0"/>
              <w:wordWrap/>
              <w:overflowPunct/>
              <w:bidi w:val="0"/>
              <w:snapToGrid w:val="0"/>
              <w:spacing w:line="360" w:lineRule="exact"/>
              <w:jc w:val="both"/>
              <w:textAlignment w:val="auto"/>
              <w:rPr>
                <w:rFonts w:ascii="宋体" w:hAnsi="宋体"/>
                <w:color w:val="auto"/>
                <w:sz w:val="21"/>
                <w:szCs w:val="21"/>
                <w:highlight w:val="none"/>
              </w:rPr>
            </w:pPr>
            <w:r>
              <w:rPr>
                <w:rFonts w:hint="eastAsia" w:ascii="宋体" w:hAnsi="宋体"/>
                <w:color w:val="auto"/>
                <w:sz w:val="21"/>
                <w:szCs w:val="21"/>
                <w:highlight w:val="none"/>
              </w:rPr>
              <w:t>（三）投标人解密(投标文件解密在</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0分钟内完成，具体以电子招投标交易平台系统时间为准)</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（四）清单、参数录入（若有）录入最高投标限价。相关权重系数、浮动系数等抽取值（在商务标评审阶段进行抽取、录入）</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（五）公布开标结果</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（六）开标结束</w:t>
            </w:r>
          </w:p>
        </w:tc>
      </w:tr>
      <w:tr>
        <w:tblPrEx>
          <w:tblCellMar>
            <w:top w:w="0" w:type="dxa"/>
            <w:left w:w="57" w:type="dxa"/>
            <w:bottom w:w="0" w:type="dxa"/>
            <w:right w:w="57" w:type="dxa"/>
          </w:tblCellMar>
        </w:tblPrEx>
        <w:trPr>
          <w:trHeight w:val="3045"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103" w:right="-5"/>
              <w:jc w:val="center"/>
              <w:rPr>
                <w:rFonts w:ascii="宋体" w:hAnsi="宋体"/>
                <w:color w:val="auto"/>
                <w:sz w:val="21"/>
                <w:szCs w:val="21"/>
                <w:highlight w:val="none"/>
              </w:rPr>
            </w:pPr>
            <w:r>
              <w:rPr>
                <w:rFonts w:hint="eastAsia" w:ascii="宋体" w:hAnsi="宋体"/>
                <w:color w:val="auto"/>
                <w:sz w:val="21"/>
                <w:szCs w:val="21"/>
                <w:highlight w:val="none"/>
              </w:rPr>
              <w:t>5.4</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rFonts w:ascii="宋体" w:hAnsi="宋体"/>
                <w:color w:val="auto"/>
                <w:sz w:val="21"/>
                <w:szCs w:val="21"/>
                <w:highlight w:val="none"/>
              </w:rPr>
            </w:pPr>
            <w:r>
              <w:rPr>
                <w:rFonts w:hint="eastAsia" w:ascii="宋体" w:hAnsi="宋体"/>
                <w:color w:val="auto"/>
                <w:sz w:val="21"/>
                <w:szCs w:val="21"/>
                <w:highlight w:val="none"/>
              </w:rPr>
              <w:t>特殊情况处置</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因网络、系统、电力等不可抗力因素延期开标的，需更新制作投标文件并按招标文件要求重新递交。</w:t>
            </w:r>
          </w:p>
          <w:p>
            <w:pPr>
              <w:snapToGrid w:val="0"/>
              <w:spacing w:line="400" w:lineRule="exact"/>
              <w:jc w:val="both"/>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开标特别说明：（</w:t>
            </w:r>
            <w:r>
              <w:rPr>
                <w:rFonts w:ascii="宋体" w:hAnsi="宋体"/>
                <w:color w:val="auto"/>
                <w:sz w:val="21"/>
                <w:szCs w:val="21"/>
                <w:highlight w:val="none"/>
              </w:rPr>
              <w:t>1</w:t>
            </w:r>
            <w:r>
              <w:rPr>
                <w:rFonts w:hint="eastAsia" w:ascii="宋体" w:hAnsi="宋体"/>
                <w:color w:val="auto"/>
                <w:sz w:val="21"/>
                <w:szCs w:val="21"/>
                <w:highlight w:val="none"/>
              </w:rPr>
              <w:t>）因投标人原因造成其电子投标文件未解密的，视为撤销其投标文件；投标截止时间前未完成投标文件传输的，视为撤回投标文件；因投标人之外的原因造成电子投标文件未解密的，视为撤回其投标文件。</w:t>
            </w:r>
          </w:p>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2</w:t>
            </w:r>
            <w:r>
              <w:rPr>
                <w:rFonts w:hint="eastAsia" w:ascii="宋体" w:hAnsi="宋体"/>
                <w:color w:val="auto"/>
                <w:sz w:val="21"/>
                <w:szCs w:val="21"/>
                <w:highlight w:val="none"/>
              </w:rPr>
              <w:t>）投标人必须使用生成电子投标文件的CA数字证书加密电子投标文件，未加密的视为撤销其投标文件。</w:t>
            </w:r>
          </w:p>
          <w:p>
            <w:pPr>
              <w:snapToGrid w:val="0"/>
              <w:spacing w:line="400" w:lineRule="exact"/>
              <w:jc w:val="both"/>
              <w:rPr>
                <w:color w:val="auto"/>
                <w:sz w:val="21"/>
                <w:szCs w:val="21"/>
                <w:highlight w:val="none"/>
                <w:u w:val="single"/>
              </w:rPr>
            </w:pPr>
            <w:r>
              <w:rPr>
                <w:rFonts w:ascii="宋体" w:hAnsi="宋体"/>
                <w:color w:val="auto"/>
                <w:sz w:val="21"/>
                <w:szCs w:val="21"/>
                <w:highlight w:val="none"/>
              </w:rPr>
              <w:t>3.</w:t>
            </w:r>
            <w:r>
              <w:rPr>
                <w:rFonts w:hint="eastAsia" w:ascii="宋体" w:hAnsi="宋体"/>
                <w:color w:val="auto"/>
                <w:sz w:val="21"/>
                <w:szCs w:val="21"/>
                <w:highlight w:val="none"/>
              </w:rPr>
              <w:t>其他：</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rPr>
              <w:t>/    。</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ind w:left="367"/>
              <w:jc w:val="both"/>
              <w:rPr>
                <w:rFonts w:ascii="宋体" w:hAnsi="宋体"/>
                <w:color w:val="auto"/>
                <w:sz w:val="21"/>
                <w:szCs w:val="21"/>
                <w:highlight w:val="none"/>
              </w:rPr>
            </w:pPr>
            <w:r>
              <w:rPr>
                <w:rFonts w:hint="eastAsia" w:ascii="宋体" w:hAnsi="宋体"/>
                <w:color w:val="auto"/>
                <w:sz w:val="21"/>
                <w:szCs w:val="21"/>
                <w:highlight w:val="none"/>
              </w:rPr>
              <w:t>6.1.1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评标委员会的组建</w:t>
            </w:r>
          </w:p>
        </w:tc>
        <w:tc>
          <w:tcPr>
            <w:tcW w:w="6729" w:type="dxa"/>
            <w:tcBorders>
              <w:top w:val="single" w:color="000000" w:sz="4" w:space="0"/>
              <w:left w:val="nil"/>
              <w:bottom w:val="single" w:color="000000" w:sz="4" w:space="0"/>
              <w:right w:val="single" w:color="000000" w:sz="4" w:space="0"/>
            </w:tcBorders>
            <w:vAlign w:val="center"/>
          </w:tcPr>
          <w:p>
            <w:pPr>
              <w:pStyle w:val="29"/>
              <w:kinsoku w:val="0"/>
              <w:snapToGrid w:val="0"/>
              <w:spacing w:line="400" w:lineRule="exact"/>
              <w:jc w:val="both"/>
              <w:rPr>
                <w:color w:val="auto"/>
                <w:sz w:val="21"/>
                <w:szCs w:val="21"/>
                <w:highlight w:val="none"/>
              </w:rPr>
            </w:pPr>
            <w:r>
              <w:rPr>
                <w:rFonts w:hint="eastAsia"/>
                <w:color w:val="auto"/>
                <w:spacing w:val="-2"/>
                <w:sz w:val="21"/>
                <w:szCs w:val="21"/>
                <w:highlight w:val="none"/>
              </w:rPr>
              <w:t xml:space="preserve">评标委员会构成： </w:t>
            </w:r>
            <w:r>
              <w:rPr>
                <w:rFonts w:hint="eastAsia" w:cs="宋体"/>
                <w:b/>
                <w:bCs/>
                <w:color w:val="auto"/>
                <w:spacing w:val="-2"/>
                <w:sz w:val="21"/>
                <w:szCs w:val="21"/>
                <w:highlight w:val="none"/>
                <w:u w:val="single"/>
              </w:rPr>
              <w:t>其中招标人代表2人，专家5人（评标委员会开始评标前应推选1名专家为评标组长，招标人代表不得担任评标组长）</w:t>
            </w:r>
            <w:r>
              <w:rPr>
                <w:rFonts w:hint="eastAsia"/>
                <w:b/>
                <w:bCs/>
                <w:color w:val="auto"/>
                <w:sz w:val="21"/>
                <w:szCs w:val="21"/>
                <w:highlight w:val="none"/>
                <w:u w:val="single"/>
              </w:rPr>
              <w:t xml:space="preserve"> </w:t>
            </w:r>
            <w:r>
              <w:rPr>
                <w:rFonts w:hint="eastAsia"/>
                <w:color w:val="auto"/>
                <w:spacing w:val="-2"/>
                <w:sz w:val="21"/>
                <w:szCs w:val="21"/>
                <w:highlight w:val="none"/>
              </w:rPr>
              <w:t>。</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6.3</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评标办法</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400" w:lineRule="exact"/>
              <w:jc w:val="both"/>
              <w:rPr>
                <w:rFonts w:ascii="宋体" w:hAnsi="宋体"/>
                <w:strike/>
                <w:dstrike w:val="0"/>
                <w:color w:val="auto"/>
                <w:sz w:val="21"/>
                <w:szCs w:val="21"/>
                <w:highlight w:val="none"/>
              </w:rPr>
            </w:pPr>
            <w:r>
              <w:rPr>
                <w:rFonts w:hint="eastAsia" w:ascii="宋体" w:hAnsi="宋体"/>
                <w:strike/>
                <w:dstrike w:val="0"/>
                <w:color w:val="auto"/>
                <w:sz w:val="21"/>
                <w:szCs w:val="21"/>
                <w:highlight w:val="none"/>
              </w:rPr>
              <w:t>1.</w:t>
            </w:r>
            <w:r>
              <w:rPr>
                <w:rFonts w:ascii="Wingdings 2" w:hAnsi="Wingdings 2"/>
                <w:strike/>
                <w:dstrike w:val="0"/>
                <w:color w:val="auto"/>
                <w:sz w:val="21"/>
                <w:szCs w:val="21"/>
                <w:highlight w:val="none"/>
              </w:rPr>
              <w:t>□</w:t>
            </w:r>
            <w:r>
              <w:rPr>
                <w:rFonts w:hint="eastAsia" w:ascii="宋体" w:hAnsi="宋体"/>
                <w:strike/>
                <w:dstrike w:val="0"/>
                <w:color w:val="auto"/>
                <w:sz w:val="21"/>
                <w:szCs w:val="21"/>
                <w:highlight w:val="none"/>
              </w:rPr>
              <w:t>经评审的最低投标价法。</w:t>
            </w:r>
          </w:p>
          <w:p>
            <w:pPr>
              <w:pStyle w:val="26"/>
              <w:kinsoku w:val="0"/>
              <w:snapToGrid w:val="0"/>
              <w:spacing w:line="400" w:lineRule="exact"/>
              <w:ind w:left="480" w:hanging="420" w:hangingChars="200"/>
              <w:jc w:val="both"/>
              <w:rPr>
                <w:rFonts w:ascii="宋体" w:hAnsi="宋体"/>
                <w:strike/>
                <w:dstrike w:val="0"/>
                <w:color w:val="auto"/>
                <w:sz w:val="21"/>
                <w:szCs w:val="21"/>
                <w:highlight w:val="none"/>
              </w:rPr>
            </w:pPr>
            <w:r>
              <w:rPr>
                <w:rFonts w:hint="eastAsia" w:ascii="宋体" w:hAnsi="宋体"/>
                <w:strike/>
                <w:dstrike w:val="0"/>
                <w:color w:val="auto"/>
                <w:sz w:val="21"/>
                <w:szCs w:val="21"/>
                <w:highlight w:val="none"/>
              </w:rPr>
              <w:t>2.</w:t>
            </w:r>
            <w:r>
              <w:rPr>
                <w:rFonts w:ascii="Wingdings 2" w:hAnsi="Wingdings 2"/>
                <w:strike/>
                <w:dstrike w:val="0"/>
                <w:color w:val="auto"/>
                <w:sz w:val="21"/>
                <w:szCs w:val="21"/>
                <w:highlight w:val="none"/>
              </w:rPr>
              <w:t>□</w:t>
            </w:r>
            <w:r>
              <w:rPr>
                <w:rFonts w:hint="eastAsia" w:ascii="宋体" w:hAnsi="宋体"/>
                <w:strike/>
                <w:dstrike w:val="0"/>
                <w:color w:val="auto"/>
                <w:sz w:val="21"/>
                <w:szCs w:val="21"/>
                <w:highlight w:val="none"/>
              </w:rPr>
              <w:t>技术标通过制的综合评估法：商务总报价评分（≥85分）</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rPr>
              <w:t>分、工程量清单综合单价评分（≤10分）</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rPr>
              <w:t>分、信用评价评分（≤5分）</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rPr>
              <w:t>分。</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3.☑技术标打分制的综合评估法：技术标评分（≤30分）</w:t>
            </w:r>
            <w:r>
              <w:rPr>
                <w:rFonts w:hint="eastAsia" w:ascii="宋体" w:hAnsi="宋体"/>
                <w:b/>
                <w:bCs/>
                <w:color w:val="auto"/>
                <w:sz w:val="21"/>
                <w:szCs w:val="21"/>
                <w:highlight w:val="none"/>
                <w:u w:val="single"/>
              </w:rPr>
              <w:t xml:space="preserve"> </w:t>
            </w:r>
            <w:r>
              <w:rPr>
                <w:rFonts w:hint="eastAsia" w:ascii="宋体" w:hAnsi="宋体"/>
                <w:b/>
                <w:bCs/>
                <w:color w:val="auto"/>
                <w:sz w:val="21"/>
                <w:szCs w:val="21"/>
                <w:highlight w:val="none"/>
                <w:u w:val="single"/>
                <w:lang w:val="en-US" w:eastAsia="zh-CN"/>
              </w:rPr>
              <w:t>30</w:t>
            </w:r>
            <w:r>
              <w:rPr>
                <w:rFonts w:hint="eastAsia" w:ascii="宋体" w:hAnsi="宋体"/>
                <w:color w:val="auto"/>
                <w:sz w:val="21"/>
                <w:szCs w:val="21"/>
                <w:highlight w:val="none"/>
              </w:rPr>
              <w:t>分,资信标评分（≤10分）</w:t>
            </w:r>
            <w:r>
              <w:rPr>
                <w:rFonts w:hint="eastAsia" w:ascii="宋体" w:hAnsi="宋体"/>
                <w:color w:val="auto"/>
                <w:sz w:val="21"/>
                <w:szCs w:val="21"/>
                <w:highlight w:val="none"/>
                <w:u w:val="single"/>
              </w:rPr>
              <w:t xml:space="preserve"> </w:t>
            </w:r>
            <w:r>
              <w:rPr>
                <w:rFonts w:hint="eastAsia" w:ascii="宋体" w:hAnsi="宋体"/>
                <w:b/>
                <w:bCs/>
                <w:color w:val="auto"/>
                <w:sz w:val="21"/>
                <w:szCs w:val="21"/>
                <w:highlight w:val="none"/>
                <w:u w:val="single"/>
              </w:rPr>
              <w:t xml:space="preserve">10 </w:t>
            </w:r>
            <w:r>
              <w:rPr>
                <w:rFonts w:hint="eastAsia" w:ascii="宋体" w:hAnsi="宋体"/>
                <w:color w:val="auto"/>
                <w:sz w:val="21"/>
                <w:szCs w:val="21"/>
                <w:highlight w:val="none"/>
              </w:rPr>
              <w:t>分,商务标评分（≥60分）</w:t>
            </w:r>
            <w:r>
              <w:rPr>
                <w:rFonts w:hint="eastAsia" w:ascii="宋体" w:hAnsi="宋体"/>
                <w:b/>
                <w:bCs/>
                <w:color w:val="auto"/>
                <w:sz w:val="21"/>
                <w:szCs w:val="21"/>
                <w:highlight w:val="none"/>
                <w:u w:val="single"/>
              </w:rPr>
              <w:t xml:space="preserve"> </w:t>
            </w:r>
            <w:r>
              <w:rPr>
                <w:rFonts w:hint="eastAsia" w:ascii="宋体" w:hAnsi="宋体"/>
                <w:b/>
                <w:bCs/>
                <w:color w:val="auto"/>
                <w:sz w:val="21"/>
                <w:szCs w:val="21"/>
                <w:highlight w:val="none"/>
                <w:u w:val="single"/>
                <w:lang w:val="en-US" w:eastAsia="zh-CN"/>
              </w:rPr>
              <w:t>6</w:t>
            </w:r>
            <w:r>
              <w:rPr>
                <w:rFonts w:hint="eastAsia" w:ascii="宋体" w:hAnsi="宋体"/>
                <w:b/>
                <w:bCs/>
                <w:color w:val="auto"/>
                <w:sz w:val="21"/>
                <w:szCs w:val="21"/>
                <w:highlight w:val="none"/>
                <w:u w:val="single"/>
              </w:rPr>
              <w:t>0</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分。</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4.其他：</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tc>
      </w:tr>
      <w:tr>
        <w:tblPrEx>
          <w:tblCellMar>
            <w:top w:w="0" w:type="dxa"/>
            <w:left w:w="57" w:type="dxa"/>
            <w:bottom w:w="0" w:type="dxa"/>
            <w:right w:w="57" w:type="dxa"/>
          </w:tblCellMar>
        </w:tblPrEx>
        <w:trPr>
          <w:trHeight w:val="852"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Wingdings 2" w:hAnsi="Wingdings 2"/>
                <w:color w:val="auto"/>
                <w:sz w:val="21"/>
                <w:szCs w:val="21"/>
                <w:highlight w:val="none"/>
                <w:lang w:eastAsia="zh-CN"/>
              </w:rPr>
              <w:t>☑</w:t>
            </w:r>
            <w:r>
              <w:rPr>
                <w:rFonts w:hint="eastAsia" w:ascii="宋体" w:hAnsi="宋体"/>
                <w:color w:val="auto"/>
                <w:sz w:val="21"/>
                <w:szCs w:val="21"/>
                <w:highlight w:val="none"/>
              </w:rPr>
              <w:t>6.3.1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评标基准价的确定方法</w:t>
            </w:r>
          </w:p>
        </w:tc>
        <w:tc>
          <w:tcPr>
            <w:tcW w:w="6729" w:type="dxa"/>
            <w:tcBorders>
              <w:top w:val="single" w:color="000000" w:sz="4" w:space="0"/>
              <w:left w:val="nil"/>
              <w:bottom w:val="single" w:color="000000" w:sz="4" w:space="0"/>
              <w:right w:val="single" w:color="000000" w:sz="4" w:space="0"/>
            </w:tcBorders>
            <w:vAlign w:val="center"/>
          </w:tcPr>
          <w:p>
            <w:pPr>
              <w:kinsoku w:val="0"/>
              <w:autoSpaceDN/>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评标基准价确定方法：</w:t>
            </w:r>
            <w:r>
              <w:rPr>
                <w:rFonts w:hint="eastAsia" w:ascii="宋体" w:hAnsi="宋体"/>
                <w:b/>
                <w:bCs/>
                <w:color w:val="auto"/>
                <w:sz w:val="21"/>
                <w:szCs w:val="21"/>
                <w:highlight w:val="none"/>
                <w:u w:val="single"/>
              </w:rPr>
              <w:t>详见评标办法（三）</w:t>
            </w:r>
            <w:r>
              <w:rPr>
                <w:rFonts w:hint="eastAsia" w:ascii="宋体" w:hAnsi="宋体"/>
                <w:color w:val="auto"/>
                <w:sz w:val="21"/>
                <w:szCs w:val="21"/>
                <w:highlight w:val="none"/>
              </w:rPr>
              <w:t>。</w:t>
            </w:r>
          </w:p>
        </w:tc>
      </w:tr>
      <w:tr>
        <w:trPr>
          <w:trHeight w:val="852"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6.3.2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评标委员会推荐中标候选人的人数</w:t>
            </w:r>
          </w:p>
        </w:tc>
        <w:tc>
          <w:tcPr>
            <w:tcW w:w="672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bidi w:val="0"/>
              <w:adjustRightInd w:val="0"/>
              <w:snapToGrid w:val="0"/>
              <w:spacing w:line="400" w:lineRule="exact"/>
              <w:jc w:val="both"/>
              <w:textAlignment w:val="auto"/>
              <w:rPr>
                <w:rFonts w:ascii="宋体" w:hAnsi="宋体"/>
                <w:color w:val="auto"/>
                <w:sz w:val="21"/>
                <w:szCs w:val="21"/>
                <w:highlight w:val="none"/>
                <w:u w:val="single"/>
              </w:rPr>
            </w:pPr>
            <w:r>
              <w:rPr>
                <w:rFonts w:hint="eastAsia" w:ascii="宋体" w:hAnsi="宋体" w:cs="宋体"/>
                <w:color w:val="auto"/>
                <w:sz w:val="21"/>
                <w:szCs w:val="21"/>
                <w:highlight w:val="none"/>
              </w:rPr>
              <w:t>当有效投标人数量3家及以上且不足8家时，由评标委员会推荐总得分前3名为中标候选人；当有效投标人数量为8家及以上且不足10家时，由评标委员会推荐总得分前4名为中标候选人；当有效投标人数量为10家及以上时，由评标委员会推荐总得分前5名为中标候选人</w:t>
            </w:r>
            <w:r>
              <w:rPr>
                <w:rFonts w:hint="eastAsia" w:ascii="宋体" w:hAnsi="宋体"/>
                <w:iCs/>
                <w:color w:val="auto"/>
                <w:sz w:val="21"/>
                <w:szCs w:val="21"/>
                <w:highlight w:val="none"/>
              </w:rPr>
              <w:t>。</w:t>
            </w:r>
          </w:p>
        </w:tc>
      </w:tr>
      <w:tr>
        <w:tblPrEx>
          <w:tblCellMar>
            <w:top w:w="0" w:type="dxa"/>
            <w:left w:w="57" w:type="dxa"/>
            <w:bottom w:w="0" w:type="dxa"/>
            <w:right w:w="57" w:type="dxa"/>
          </w:tblCellMar>
        </w:tblPrEx>
        <w:trPr>
          <w:trHeight w:val="823" w:hRule="atLeast"/>
        </w:trPr>
        <w:tc>
          <w:tcPr>
            <w:tcW w:w="1173" w:type="dxa"/>
            <w:tcBorders>
              <w:top w:val="nil"/>
              <w:left w:val="single" w:color="000000" w:sz="4" w:space="0"/>
              <w:bottom w:val="single" w:color="000000" w:sz="4" w:space="0"/>
              <w:right w:val="single" w:color="000000" w:sz="4" w:space="0"/>
            </w:tcBorders>
            <w:vAlign w:val="center"/>
          </w:tcPr>
          <w:p>
            <w:pPr>
              <w:pStyle w:val="26"/>
              <w:kinsoku w:val="0"/>
              <w:spacing w:line="400" w:lineRule="exact"/>
              <w:ind w:left="2"/>
              <w:jc w:val="center"/>
              <w:rPr>
                <w:rFonts w:ascii="宋体" w:hAnsi="宋体"/>
                <w:color w:val="auto"/>
                <w:sz w:val="21"/>
                <w:szCs w:val="21"/>
                <w:highlight w:val="none"/>
              </w:rPr>
            </w:pPr>
            <w:r>
              <w:rPr>
                <w:rFonts w:hint="eastAsia" w:ascii="宋体" w:hAnsi="宋体"/>
                <w:color w:val="auto"/>
                <w:sz w:val="21"/>
                <w:szCs w:val="21"/>
                <w:highlight w:val="none"/>
              </w:rPr>
              <w:t>7.1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中标候选人公示媒介及期限</w:t>
            </w:r>
          </w:p>
        </w:tc>
        <w:tc>
          <w:tcPr>
            <w:tcW w:w="672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wordWrap/>
              <w:overflowPunct/>
              <w:topLinePunct w:val="0"/>
              <w:autoSpaceDE w:val="0"/>
              <w:bidi w:val="0"/>
              <w:adjustRightInd w:val="0"/>
              <w:snapToGri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rPr>
              <w:t>公示媒介：</w:t>
            </w:r>
            <w:r>
              <w:rPr>
                <w:rFonts w:hint="eastAsia" w:ascii="宋体" w:hAnsi="宋体"/>
                <w:iCs/>
                <w:color w:val="auto"/>
                <w:sz w:val="21"/>
                <w:szCs w:val="21"/>
                <w:highlight w:val="none"/>
                <w:u w:val="single"/>
              </w:rPr>
              <w:t xml:space="preserve">  浙江省公共资源交易服务平台http://zjpubservice.zjzwfw.gov.cn/及越城区公共资源交易平台（http://ztb.sxyc.gov.cn/TPBidder）  </w:t>
            </w:r>
            <w:r>
              <w:rPr>
                <w:rFonts w:hint="eastAsia" w:ascii="宋体" w:hAnsi="宋体"/>
                <w:color w:val="auto"/>
                <w:sz w:val="21"/>
                <w:szCs w:val="21"/>
                <w:highlight w:val="none"/>
              </w:rPr>
              <w:t>（网址）</w:t>
            </w:r>
            <w:r>
              <w:rPr>
                <w:rFonts w:hint="eastAsia" w:ascii="宋体" w:hAnsi="宋体"/>
                <w:color w:val="auto"/>
                <w:spacing w:val="-2"/>
                <w:sz w:val="21"/>
                <w:szCs w:val="21"/>
                <w:highlight w:val="none"/>
              </w:rPr>
              <w:t>公示期限：不少于3日。如遇国家法定休假日，应顺延至法定休假日后第一个工作日。</w:t>
            </w:r>
          </w:p>
        </w:tc>
      </w:tr>
      <w:tr>
        <w:tblPrEx>
          <w:tblCellMar>
            <w:top w:w="0" w:type="dxa"/>
            <w:left w:w="57" w:type="dxa"/>
            <w:bottom w:w="0" w:type="dxa"/>
            <w:right w:w="57" w:type="dxa"/>
          </w:tblCellMar>
        </w:tblPrEx>
        <w:trPr>
          <w:trHeight w:val="1039" w:hRule="atLeast"/>
        </w:trPr>
        <w:tc>
          <w:tcPr>
            <w:tcW w:w="1173" w:type="dxa"/>
            <w:tcBorders>
              <w:top w:val="single" w:color="000000" w:sz="4" w:space="0"/>
              <w:left w:val="single" w:color="000000" w:sz="4" w:space="0"/>
              <w:bottom w:val="nil"/>
              <w:right w:val="single" w:color="000000" w:sz="4" w:space="0"/>
            </w:tcBorders>
            <w:vAlign w:val="center"/>
          </w:tcPr>
          <w:p>
            <w:pPr>
              <w:pStyle w:val="26"/>
              <w:kinsoku w:val="0"/>
              <w:spacing w:line="400" w:lineRule="exact"/>
              <w:ind w:left="2"/>
              <w:jc w:val="center"/>
              <w:rPr>
                <w:rFonts w:ascii="宋体" w:hAnsi="宋体"/>
                <w:color w:val="auto"/>
                <w:sz w:val="21"/>
                <w:szCs w:val="21"/>
                <w:highlight w:val="none"/>
              </w:rPr>
            </w:pPr>
            <w:r>
              <w:rPr>
                <w:rFonts w:hint="eastAsia" w:ascii="宋体" w:hAnsi="宋体"/>
                <w:color w:val="auto"/>
                <w:sz w:val="21"/>
                <w:szCs w:val="21"/>
                <w:highlight w:val="none"/>
              </w:rPr>
              <w:t>7.2</w:t>
            </w:r>
          </w:p>
        </w:tc>
        <w:tc>
          <w:tcPr>
            <w:tcW w:w="1826" w:type="dxa"/>
            <w:tcBorders>
              <w:top w:val="single" w:color="000000" w:sz="4" w:space="0"/>
              <w:left w:val="nil"/>
              <w:bottom w:val="nil"/>
              <w:right w:val="single" w:color="000000" w:sz="4" w:space="0"/>
            </w:tcBorders>
            <w:vAlign w:val="center"/>
          </w:tcPr>
          <w:p>
            <w:pPr>
              <w:pStyle w:val="26"/>
              <w:kinsoku w:val="0"/>
              <w:spacing w:line="400" w:lineRule="exact"/>
              <w:jc w:val="center"/>
              <w:rPr>
                <w:color w:val="auto"/>
                <w:sz w:val="21"/>
                <w:szCs w:val="21"/>
                <w:highlight w:val="none"/>
              </w:rPr>
            </w:pPr>
            <w:r>
              <w:rPr>
                <w:rFonts w:hint="eastAsia" w:ascii="宋体"/>
                <w:color w:val="auto"/>
                <w:sz w:val="21"/>
                <w:szCs w:val="21"/>
                <w:highlight w:val="none"/>
              </w:rPr>
              <w:t>是否授权评标委员会确定中标人</w:t>
            </w:r>
          </w:p>
        </w:tc>
        <w:tc>
          <w:tcPr>
            <w:tcW w:w="6729" w:type="dxa"/>
            <w:tcBorders>
              <w:top w:val="single" w:color="000000" w:sz="4" w:space="0"/>
              <w:left w:val="nil"/>
              <w:bottom w:val="single" w:color="000000" w:sz="4" w:space="0"/>
              <w:right w:val="single" w:color="000000" w:sz="4" w:space="0"/>
            </w:tcBorders>
          </w:tcPr>
          <w:p>
            <w:pPr>
              <w:pStyle w:val="26"/>
              <w:keepNext w:val="0"/>
              <w:keepLines w:val="0"/>
              <w:pageBreakBefore w:val="0"/>
              <w:widowControl w:val="0"/>
              <w:kinsoku w:val="0"/>
              <w:wordWrap/>
              <w:overflowPunct/>
              <w:topLinePunct w:val="0"/>
              <w:autoSpaceDE w:val="0"/>
              <w:bidi w:val="0"/>
              <w:adjustRightInd w:val="0"/>
              <w:snapToGri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rPr>
              <w:t>□是。</w:t>
            </w:r>
          </w:p>
          <w:p>
            <w:pPr>
              <w:pStyle w:val="26"/>
              <w:keepNext w:val="0"/>
              <w:keepLines w:val="0"/>
              <w:pageBreakBefore w:val="0"/>
              <w:widowControl w:val="0"/>
              <w:kinsoku w:val="0"/>
              <w:wordWrap/>
              <w:overflowPunct/>
              <w:topLinePunct w:val="0"/>
              <w:autoSpaceDE w:val="0"/>
              <w:bidi w:val="0"/>
              <w:adjustRightInd w:val="0"/>
              <w:snapToGri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rPr>
              <w:t>☑否。</w:t>
            </w:r>
          </w:p>
          <w:p>
            <w:pPr>
              <w:pStyle w:val="26"/>
              <w:keepNext w:val="0"/>
              <w:keepLines w:val="0"/>
              <w:pageBreakBefore w:val="0"/>
              <w:widowControl w:val="0"/>
              <w:kinsoku w:val="0"/>
              <w:wordWrap/>
              <w:overflowPunct/>
              <w:topLinePunct w:val="0"/>
              <w:autoSpaceDE w:val="0"/>
              <w:bidi w:val="0"/>
              <w:adjustRightInd w:val="0"/>
              <w:snapToGri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rPr>
              <w:t>其他：</w:t>
            </w:r>
            <w:r>
              <w:rPr>
                <w:rFonts w:hint="eastAsia" w:ascii="宋体" w:hAnsi="宋体"/>
                <w:color w:val="auto"/>
                <w:sz w:val="21"/>
                <w:szCs w:val="21"/>
                <w:highlight w:val="none"/>
                <w:u w:val="single"/>
              </w:rPr>
              <w:t xml:space="preserve"> </w:t>
            </w:r>
            <w:r>
              <w:rPr>
                <w:rFonts w:hint="eastAsia" w:ascii="宋体" w:hAnsi="宋体"/>
                <w:i w:val="0"/>
                <w:iCs w:val="0"/>
                <w:strike w:val="0"/>
                <w:dstrike w:val="0"/>
                <w:color w:val="auto"/>
                <w:sz w:val="21"/>
                <w:szCs w:val="21"/>
                <w:highlight w:val="none"/>
                <w:u w:val="single"/>
                <w:lang w:val="en-US" w:eastAsia="zh-CN"/>
              </w:rPr>
              <w:t>由评标委员会推荐入围中标候选人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tc>
      </w:tr>
      <w:tr>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7.4</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履约担保</w:t>
            </w:r>
          </w:p>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及工程款支付</w:t>
            </w:r>
          </w:p>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担保</w:t>
            </w:r>
          </w:p>
        </w:tc>
        <w:tc>
          <w:tcPr>
            <w:tcW w:w="672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wordWrap/>
              <w:overflowPunct/>
              <w:topLinePunct w:val="0"/>
              <w:autoSpaceDE w:val="0"/>
              <w:bidi w:val="0"/>
              <w:adjustRightInd w:val="0"/>
              <w:snapToGri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rPr>
              <w:t>履约担保的金额：合同总价的</w:t>
            </w:r>
            <w:r>
              <w:rPr>
                <w:rFonts w:hint="eastAsia" w:ascii="宋体" w:hAnsi="宋体"/>
                <w:color w:val="auto"/>
                <w:sz w:val="21"/>
                <w:szCs w:val="21"/>
                <w:highlight w:val="none"/>
                <w:u w:val="single"/>
              </w:rPr>
              <w:t xml:space="preserve"> </w:t>
            </w:r>
            <w:r>
              <w:rPr>
                <w:rFonts w:hint="eastAsia" w:ascii="宋体" w:hAnsi="宋体"/>
                <w:b/>
                <w:bCs/>
                <w:color w:val="auto"/>
                <w:sz w:val="21"/>
                <w:szCs w:val="21"/>
                <w:highlight w:val="none"/>
                <w:u w:val="single"/>
              </w:rPr>
              <w:t xml:space="preserve"> 2 </w:t>
            </w:r>
            <w:r>
              <w:rPr>
                <w:rFonts w:hint="eastAsia" w:ascii="宋体" w:hAnsi="宋体"/>
                <w:color w:val="auto"/>
                <w:sz w:val="21"/>
                <w:szCs w:val="21"/>
                <w:highlight w:val="none"/>
              </w:rPr>
              <w:t>%（不得超过2%）。</w:t>
            </w:r>
          </w:p>
          <w:p>
            <w:pPr>
              <w:keepNext w:val="0"/>
              <w:keepLines w:val="0"/>
              <w:pageBreakBefore w:val="0"/>
              <w:widowControl w:val="0"/>
              <w:wordWrap/>
              <w:overflowPunct/>
              <w:topLinePunct w:val="0"/>
              <w:autoSpaceDE w:val="0"/>
              <w:bidi w:val="0"/>
              <w:adjustRightInd w:val="0"/>
              <w:snapToGri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rPr>
              <w:t>工程款支付担保的金额：与履约担保同比例。</w:t>
            </w:r>
          </w:p>
          <w:p>
            <w:pPr>
              <w:keepNext w:val="0"/>
              <w:keepLines w:val="0"/>
              <w:pageBreakBefore w:val="0"/>
              <w:widowControl w:val="0"/>
              <w:wordWrap/>
              <w:overflowPunct/>
              <w:topLinePunct w:val="0"/>
              <w:autoSpaceDE w:val="0"/>
              <w:bidi w:val="0"/>
              <w:adjustRightInd w:val="0"/>
              <w:snapToGri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rPr>
              <w:t>履约担保/工程款支付担保的形式：</w:t>
            </w:r>
            <w:bookmarkStart w:id="81" w:name="EB729f8822ed244be9b6cbf8c77e802a6c"/>
            <w:r>
              <w:rPr>
                <w:rFonts w:hint="eastAsia" w:ascii="宋体" w:hAnsi="宋体"/>
                <w:color w:val="auto"/>
                <w:sz w:val="21"/>
                <w:szCs w:val="21"/>
                <w:highlight w:val="none"/>
              </w:rPr>
              <w:t>现金、支票、汇票、转账、银行保函、保险机构保证、保险、保单。</w:t>
            </w:r>
            <w:bookmarkEnd w:id="81"/>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8.1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重新招标其他情形</w:t>
            </w:r>
          </w:p>
        </w:tc>
        <w:tc>
          <w:tcPr>
            <w:tcW w:w="6729" w:type="dxa"/>
            <w:tcBorders>
              <w:top w:val="single" w:color="000000" w:sz="4" w:space="0"/>
              <w:left w:val="nil"/>
              <w:bottom w:val="single" w:color="000000" w:sz="4" w:space="0"/>
              <w:right w:val="single" w:color="000000" w:sz="4" w:space="0"/>
            </w:tcBorders>
            <w:vAlign w:val="center"/>
          </w:tcPr>
          <w:p>
            <w:pPr>
              <w:keepNext w:val="0"/>
              <w:keepLines w:val="0"/>
              <w:pageBreakBefore w:val="0"/>
              <w:wordWrap/>
              <w:overflowPunct/>
              <w:bidi w:val="0"/>
              <w:spacing w:line="360" w:lineRule="exact"/>
              <w:textAlignment w:val="auto"/>
              <w:rPr>
                <w:rFonts w:ascii="宋体" w:hAnsi="宋体"/>
                <w:color w:val="auto"/>
                <w:sz w:val="21"/>
                <w:szCs w:val="21"/>
                <w:highlight w:val="none"/>
              </w:rPr>
            </w:pPr>
            <w:r>
              <w:rPr>
                <w:rFonts w:hint="eastAsia" w:ascii="宋体" w:hAnsi="宋体"/>
                <w:color w:val="auto"/>
                <w:sz w:val="21"/>
                <w:szCs w:val="21"/>
                <w:highlight w:val="none"/>
              </w:rPr>
              <w:t>1.招标投标过程中，因项目发生变更，现有招标资格条件与项目工程规模不符的；</w:t>
            </w:r>
          </w:p>
          <w:p>
            <w:pPr>
              <w:keepNext w:val="0"/>
              <w:keepLines w:val="0"/>
              <w:pageBreakBefore w:val="0"/>
              <w:wordWrap/>
              <w:overflowPunct/>
              <w:bidi w:val="0"/>
              <w:spacing w:line="360" w:lineRule="exact"/>
              <w:textAlignment w:val="auto"/>
              <w:rPr>
                <w:rFonts w:hint="eastAsia" w:ascii="宋体" w:hAnsi="宋体"/>
                <w:color w:val="auto"/>
                <w:sz w:val="21"/>
                <w:szCs w:val="21"/>
                <w:highlight w:val="none"/>
                <w:lang w:eastAsia="zh-CN"/>
              </w:rPr>
            </w:pPr>
            <w:r>
              <w:rPr>
                <w:rFonts w:hint="eastAsia" w:ascii="宋体" w:hAnsi="宋体"/>
                <w:color w:val="auto"/>
                <w:sz w:val="21"/>
                <w:szCs w:val="21"/>
                <w:highlight w:val="none"/>
              </w:rPr>
              <w:t>2.中标人放弃中标、因不可抗力不能履行合同、不按照招标文件要求提交履约保证金，或者被查实存在影响中标结果的违法违规行为等情形，不符合中标条件的</w:t>
            </w:r>
            <w:r>
              <w:rPr>
                <w:rFonts w:hint="eastAsia" w:ascii="宋体" w:hAnsi="宋体"/>
                <w:color w:val="auto"/>
                <w:sz w:val="21"/>
                <w:szCs w:val="21"/>
                <w:highlight w:val="none"/>
                <w:lang w:eastAsia="zh-CN"/>
              </w:rPr>
              <w:t>；</w:t>
            </w:r>
          </w:p>
          <w:p>
            <w:pPr>
              <w:keepNext w:val="0"/>
              <w:keepLines w:val="0"/>
              <w:pageBreakBefore w:val="0"/>
              <w:wordWrap/>
              <w:overflowPunct/>
              <w:bidi w:val="0"/>
              <w:spacing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3.经评审，</w:t>
            </w:r>
            <w:r>
              <w:rPr>
                <w:rFonts w:hint="eastAsia" w:ascii="宋体" w:hAnsi="宋体"/>
                <w:color w:val="auto"/>
                <w:sz w:val="21"/>
                <w:szCs w:val="21"/>
                <w:highlight w:val="none"/>
                <w:lang w:val="en-US" w:eastAsia="zh-CN"/>
              </w:rPr>
              <w:t>有效</w:t>
            </w:r>
            <w:r>
              <w:rPr>
                <w:rFonts w:hint="eastAsia" w:ascii="宋体" w:hAnsi="宋体"/>
                <w:color w:val="auto"/>
                <w:sz w:val="21"/>
                <w:szCs w:val="21"/>
                <w:highlight w:val="none"/>
              </w:rPr>
              <w:t>投标人数量少于 3 家的；</w:t>
            </w:r>
          </w:p>
          <w:p>
            <w:pPr>
              <w:keepNext w:val="0"/>
              <w:keepLines w:val="0"/>
              <w:pageBreakBefore w:val="0"/>
              <w:widowControl w:val="0"/>
              <w:wordWrap/>
              <w:overflowPunct/>
              <w:topLinePunct w:val="0"/>
              <w:autoSpaceDE w:val="0"/>
              <w:bidi w:val="0"/>
              <w:adjustRightInd w:val="0"/>
              <w:spacing w:line="400" w:lineRule="exact"/>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法律法规规定的其他情形。</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8.2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ind w:right="1"/>
              <w:jc w:val="center"/>
              <w:rPr>
                <w:rFonts w:ascii="宋体"/>
                <w:color w:val="auto"/>
                <w:sz w:val="21"/>
                <w:szCs w:val="21"/>
                <w:highlight w:val="none"/>
              </w:rPr>
            </w:pPr>
            <w:r>
              <w:rPr>
                <w:rFonts w:hint="eastAsia" w:ascii="宋体"/>
                <w:color w:val="auto"/>
                <w:sz w:val="21"/>
                <w:szCs w:val="21"/>
                <w:highlight w:val="none"/>
              </w:rPr>
              <w:t>不再招标的情形</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重新招标后投标人仍少于3个的，属于必须审批、核准的工程建设项目，报经原审批、核准部门审批、核准后可以不再进行招标。</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10</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ascii="宋体"/>
                <w:color w:val="auto"/>
                <w:sz w:val="21"/>
                <w:szCs w:val="21"/>
                <w:highlight w:val="none"/>
              </w:rPr>
              <w:t>需要补充的</w:t>
            </w:r>
          </w:p>
          <w:p>
            <w:pPr>
              <w:pStyle w:val="26"/>
              <w:kinsoku w:val="0"/>
              <w:spacing w:line="400" w:lineRule="exact"/>
              <w:jc w:val="center"/>
              <w:rPr>
                <w:color w:val="auto"/>
                <w:sz w:val="21"/>
                <w:szCs w:val="21"/>
                <w:highlight w:val="none"/>
              </w:rPr>
            </w:pPr>
            <w:r>
              <w:rPr>
                <w:rFonts w:hint="eastAsia" w:ascii="宋体"/>
                <w:color w:val="auto"/>
                <w:sz w:val="21"/>
                <w:szCs w:val="21"/>
                <w:highlight w:val="none"/>
              </w:rPr>
              <w:t>其他内容</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投诉受理的具体部门及电话：</w:t>
            </w:r>
            <w:r>
              <w:rPr>
                <w:rFonts w:hint="eastAsia" w:ascii="宋体" w:hAnsi="宋体"/>
                <w:color w:val="auto"/>
                <w:sz w:val="21"/>
                <w:szCs w:val="21"/>
                <w:highlight w:val="none"/>
                <w:u w:val="single"/>
              </w:rPr>
              <w:t xml:space="preserve"> </w:t>
            </w:r>
            <w:r>
              <w:rPr>
                <w:rFonts w:hint="eastAsia" w:ascii="宋体" w:hAnsi="宋体"/>
                <w:iCs/>
                <w:color w:val="auto"/>
                <w:sz w:val="21"/>
                <w:szCs w:val="21"/>
                <w:highlight w:val="none"/>
                <w:u w:val="single"/>
              </w:rPr>
              <w:t>绍兴市越城区公共资源交易管理委员会办公室</w:t>
            </w:r>
            <w:r>
              <w:rPr>
                <w:rFonts w:hint="eastAsia" w:ascii="宋体" w:hAnsi="宋体" w:cs="宋体"/>
                <w:color w:val="auto"/>
                <w:sz w:val="21"/>
                <w:szCs w:val="21"/>
                <w:highlight w:val="none"/>
                <w:u w:val="single"/>
              </w:rPr>
              <w:t>，0575-89116916</w:t>
            </w:r>
            <w:r>
              <w:rPr>
                <w:rFonts w:hint="eastAsia" w:ascii="宋体" w:hAnsi="宋体" w:cs="宋体"/>
                <w:color w:val="auto"/>
                <w:sz w:val="21"/>
                <w:szCs w:val="21"/>
                <w:highlight w:val="none"/>
              </w:rPr>
              <w:t xml:space="preserve"> </w:t>
            </w:r>
            <w:r>
              <w:rPr>
                <w:rFonts w:hint="eastAsia" w:ascii="宋体" w:hAnsi="宋体"/>
                <w:color w:val="auto"/>
                <w:sz w:val="21"/>
                <w:szCs w:val="21"/>
                <w:highlight w:val="none"/>
              </w:rPr>
              <w:t>。</w:t>
            </w:r>
          </w:p>
        </w:tc>
      </w:tr>
      <w:tr>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10.1</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color w:val="auto"/>
                <w:sz w:val="21"/>
                <w:szCs w:val="21"/>
                <w:highlight w:val="none"/>
              </w:rPr>
              <w:t>商务标编制</w:t>
            </w:r>
          </w:p>
          <w:p>
            <w:pPr>
              <w:pStyle w:val="26"/>
              <w:kinsoku w:val="0"/>
              <w:spacing w:line="400" w:lineRule="exact"/>
              <w:jc w:val="center"/>
              <w:rPr>
                <w:color w:val="auto"/>
                <w:sz w:val="21"/>
                <w:szCs w:val="21"/>
                <w:highlight w:val="none"/>
              </w:rPr>
            </w:pPr>
            <w:r>
              <w:rPr>
                <w:rFonts w:hint="eastAsia"/>
                <w:color w:val="auto"/>
                <w:sz w:val="21"/>
                <w:szCs w:val="21"/>
                <w:highlight w:val="none"/>
              </w:rPr>
              <w:t>相关规定</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根据住房和城乡建设部、省建设主管部门对造价从业人员执业管理的相关法律法规规定以及《建设工程工程量清单计价规范》（GB50500-2013）的规定，投标报价的编制必须遵守以下规定：</w:t>
            </w:r>
          </w:p>
          <w:p>
            <w:pPr>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1.投标报价应由投标人或受其委托具有相应能力的工程造价咨询人编制。</w:t>
            </w:r>
          </w:p>
          <w:p>
            <w:pPr>
              <w:snapToGrid w:val="0"/>
              <w:spacing w:line="400" w:lineRule="exact"/>
              <w:rPr>
                <w:rFonts w:hint="eastAsia" w:ascii="宋体" w:hAnsi="宋体"/>
                <w:color w:val="auto"/>
                <w:sz w:val="21"/>
                <w:szCs w:val="21"/>
                <w:highlight w:val="none"/>
                <w:lang w:eastAsia="zh-CN"/>
              </w:rPr>
            </w:pPr>
            <w:r>
              <w:rPr>
                <w:rFonts w:hint="eastAsia" w:ascii="宋体" w:hAnsi="宋体"/>
                <w:color w:val="auto"/>
                <w:sz w:val="21"/>
                <w:szCs w:val="21"/>
                <w:highlight w:val="none"/>
              </w:rPr>
              <w:t>2.</w:t>
            </w:r>
            <w:r>
              <w:rPr>
                <w:rFonts w:hint="eastAsia"/>
                <w:color w:val="auto"/>
                <w:sz w:val="21"/>
                <w:szCs w:val="21"/>
                <w:highlight w:val="none"/>
              </w:rPr>
              <w:t>投标文件的编制人不得接受同一工程招标人委托编制</w:t>
            </w:r>
            <w:r>
              <w:rPr>
                <w:rFonts w:hint="eastAsia" w:ascii="宋体" w:hAnsi="宋体"/>
                <w:color w:val="auto"/>
                <w:sz w:val="21"/>
                <w:szCs w:val="21"/>
                <w:highlight w:val="none"/>
              </w:rPr>
              <w:t>招标文件（含招标控制价)</w:t>
            </w:r>
            <w:r>
              <w:rPr>
                <w:rFonts w:hint="eastAsia"/>
                <w:color w:val="auto"/>
                <w:sz w:val="21"/>
                <w:szCs w:val="21"/>
                <w:highlight w:val="none"/>
              </w:rPr>
              <w:t>，并不得接受其他投标人委托编制</w:t>
            </w:r>
            <w:r>
              <w:rPr>
                <w:rFonts w:hint="eastAsia" w:ascii="宋体" w:hAnsi="宋体"/>
                <w:color w:val="auto"/>
                <w:sz w:val="21"/>
                <w:szCs w:val="21"/>
                <w:highlight w:val="none"/>
              </w:rPr>
              <w:t>投标文件</w:t>
            </w:r>
            <w:r>
              <w:rPr>
                <w:rFonts w:hint="eastAsia" w:ascii="宋体" w:hAnsi="宋体"/>
                <w:color w:val="auto"/>
                <w:sz w:val="21"/>
                <w:szCs w:val="21"/>
                <w:highlight w:val="none"/>
                <w:lang w:eastAsia="zh-CN"/>
              </w:rPr>
              <w:t>。</w:t>
            </w:r>
          </w:p>
          <w:p>
            <w:pPr>
              <w:snapToGrid w:val="0"/>
              <w:spacing w:line="400" w:lineRule="exact"/>
              <w:rPr>
                <w:rFonts w:hint="eastAsia" w:ascii="宋体" w:hAnsi="宋体" w:eastAsia="宋体"/>
                <w:color w:val="auto"/>
                <w:sz w:val="21"/>
                <w:szCs w:val="21"/>
                <w:highlight w:val="none"/>
                <w:lang w:val="en-US" w:eastAsia="zh-CN"/>
              </w:rPr>
            </w:pPr>
            <w:r>
              <w:rPr>
                <w:rFonts w:hint="eastAsia" w:ascii="宋体" w:hAnsi="宋体" w:cs="宋体"/>
                <w:b/>
                <w:bCs/>
                <w:color w:val="auto"/>
                <w:sz w:val="21"/>
                <w:szCs w:val="21"/>
                <w:highlight w:val="none"/>
              </w:rPr>
              <w:t>备注：</w:t>
            </w:r>
            <w:r>
              <w:rPr>
                <w:rFonts w:hint="eastAsia" w:ascii="宋体" w:hAnsi="宋体"/>
                <w:b/>
                <w:bCs/>
                <w:color w:val="auto"/>
                <w:sz w:val="21"/>
                <w:szCs w:val="21"/>
                <w:highlight w:val="none"/>
              </w:rPr>
              <w:t>本项目采用电子投标</w:t>
            </w:r>
            <w:r>
              <w:rPr>
                <w:rFonts w:hint="eastAsia" w:ascii="宋体" w:hAnsi="宋体"/>
                <w:b/>
                <w:bCs/>
                <w:color w:val="auto"/>
                <w:sz w:val="21"/>
                <w:szCs w:val="21"/>
                <w:highlight w:val="none"/>
                <w:lang w:eastAsia="zh-CN"/>
              </w:rPr>
              <w:t>，</w:t>
            </w:r>
            <w:r>
              <w:rPr>
                <w:rFonts w:hint="eastAsia" w:ascii="宋体" w:hAnsi="宋体" w:cs="宋体"/>
                <w:b/>
                <w:bCs/>
                <w:color w:val="auto"/>
                <w:sz w:val="21"/>
                <w:szCs w:val="21"/>
                <w:highlight w:val="none"/>
              </w:rPr>
              <w:t>投标报价扉页中的编制人签字盖章不作强制性要求。</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10.2</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rFonts w:ascii="宋体"/>
                <w:color w:val="auto"/>
                <w:sz w:val="21"/>
                <w:szCs w:val="21"/>
                <w:highlight w:val="none"/>
              </w:rPr>
            </w:pPr>
            <w:r>
              <w:rPr>
                <w:rFonts w:hint="eastAsia"/>
                <w:color w:val="auto"/>
                <w:sz w:val="21"/>
                <w:szCs w:val="21"/>
                <w:highlight w:val="none"/>
              </w:rPr>
              <w:t>投标文件的澄清、质询</w:t>
            </w:r>
          </w:p>
        </w:tc>
        <w:tc>
          <w:tcPr>
            <w:tcW w:w="6729" w:type="dxa"/>
            <w:tcBorders>
              <w:top w:val="single" w:color="000000" w:sz="4" w:space="0"/>
              <w:left w:val="nil"/>
              <w:bottom w:val="single" w:color="000000" w:sz="4" w:space="0"/>
              <w:right w:val="single" w:color="000000" w:sz="4" w:space="0"/>
            </w:tcBorders>
            <w:vAlign w:val="center"/>
          </w:tcPr>
          <w:p>
            <w:pPr>
              <w:pStyle w:val="29"/>
              <w:numPr>
                <w:ilvl w:val="0"/>
                <w:numId w:val="2"/>
              </w:numPr>
              <w:snapToGrid w:val="0"/>
              <w:spacing w:line="400" w:lineRule="exact"/>
              <w:jc w:val="both"/>
              <w:rPr>
                <w:color w:val="auto"/>
                <w:sz w:val="21"/>
                <w:szCs w:val="21"/>
                <w:highlight w:val="none"/>
              </w:rPr>
            </w:pPr>
            <w:r>
              <w:rPr>
                <w:rFonts w:hint="eastAsia"/>
                <w:color w:val="auto"/>
                <w:sz w:val="21"/>
                <w:szCs w:val="21"/>
                <w:highlight w:val="none"/>
              </w:rPr>
              <w:t>澄清回复时间不得超过在发出通知后</w:t>
            </w:r>
            <w:r>
              <w:rPr>
                <w:rFonts w:hint="eastAsia"/>
                <w:color w:val="auto"/>
                <w:sz w:val="21"/>
                <w:szCs w:val="21"/>
                <w:highlight w:val="none"/>
                <w:u w:val="single"/>
              </w:rPr>
              <w:t>30</w:t>
            </w:r>
            <w:r>
              <w:rPr>
                <w:rFonts w:hint="eastAsia"/>
                <w:color w:val="auto"/>
                <w:sz w:val="21"/>
                <w:szCs w:val="21"/>
                <w:highlight w:val="none"/>
              </w:rPr>
              <w:t>分钟，投标人逾期或未按要求澄清回复的，将视为不予回复或确认，评标委员会有权否决其投标。投标人通讯不畅通，导致不能及时联系的，视作为投标人不予回复或确认。</w:t>
            </w:r>
          </w:p>
          <w:p>
            <w:pPr>
              <w:pStyle w:val="29"/>
              <w:snapToGrid w:val="0"/>
              <w:spacing w:line="400" w:lineRule="exact"/>
              <w:jc w:val="both"/>
              <w:rPr>
                <w:color w:val="auto"/>
                <w:sz w:val="21"/>
                <w:szCs w:val="21"/>
                <w:highlight w:val="none"/>
              </w:rPr>
            </w:pPr>
            <w:r>
              <w:rPr>
                <w:rFonts w:hint="eastAsia"/>
                <w:color w:val="auto"/>
                <w:sz w:val="21"/>
                <w:szCs w:val="21"/>
                <w:highlight w:val="none"/>
              </w:rPr>
              <w:t>2.评标委员会对投标人提交的澄清、说明或补正有疑问的，可以要求投标人进一步澄清、说明或补正，直至满足评标委员会的要求。</w:t>
            </w:r>
          </w:p>
          <w:p>
            <w:pPr>
              <w:pStyle w:val="29"/>
              <w:spacing w:line="400" w:lineRule="exact"/>
              <w:rPr>
                <w:color w:val="auto"/>
                <w:sz w:val="21"/>
                <w:szCs w:val="21"/>
                <w:highlight w:val="none"/>
              </w:rPr>
            </w:pPr>
            <w:r>
              <w:rPr>
                <w:rFonts w:hint="eastAsia"/>
                <w:color w:val="auto"/>
                <w:sz w:val="21"/>
                <w:szCs w:val="21"/>
                <w:highlight w:val="none"/>
              </w:rPr>
              <w:t>3.投标人拒不按照要求对投标文件进行澄清、说明或者补正的，评标委员会可以否决其投标。</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strike w:val="0"/>
                <w:dstrike w:val="0"/>
                <w:color w:val="auto"/>
                <w:sz w:val="21"/>
                <w:szCs w:val="21"/>
                <w:highlight w:val="none"/>
              </w:rPr>
            </w:pPr>
            <w:r>
              <w:rPr>
                <w:rFonts w:hint="eastAsia" w:ascii="Wingdings 2" w:hAnsi="Wingdings 2"/>
                <w:strike w:val="0"/>
                <w:dstrike w:val="0"/>
                <w:color w:val="auto"/>
                <w:sz w:val="21"/>
                <w:szCs w:val="21"/>
                <w:highlight w:val="none"/>
                <w:lang w:eastAsia="zh-CN"/>
              </w:rPr>
              <w:t>☑</w:t>
            </w:r>
            <w:r>
              <w:rPr>
                <w:rFonts w:hint="eastAsia" w:ascii="宋体" w:hAnsi="宋体"/>
                <w:strike w:val="0"/>
                <w:dstrike w:val="0"/>
                <w:color w:val="auto"/>
                <w:sz w:val="21"/>
                <w:szCs w:val="21"/>
                <w:highlight w:val="none"/>
              </w:rPr>
              <w:t>10.3</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strike w:val="0"/>
                <w:dstrike w:val="0"/>
                <w:color w:val="auto"/>
                <w:sz w:val="21"/>
                <w:szCs w:val="21"/>
                <w:highlight w:val="none"/>
              </w:rPr>
            </w:pPr>
            <w:r>
              <w:rPr>
                <w:rFonts w:hint="eastAsia"/>
                <w:strike w:val="0"/>
                <w:dstrike w:val="0"/>
                <w:color w:val="auto"/>
                <w:sz w:val="21"/>
                <w:szCs w:val="21"/>
                <w:highlight w:val="none"/>
              </w:rPr>
              <w:t>陈述和答辩</w:t>
            </w:r>
          </w:p>
        </w:tc>
        <w:tc>
          <w:tcPr>
            <w:tcW w:w="6729" w:type="dxa"/>
            <w:tcBorders>
              <w:top w:val="single" w:color="000000" w:sz="4" w:space="0"/>
              <w:left w:val="nil"/>
              <w:bottom w:val="single" w:color="000000" w:sz="4" w:space="0"/>
              <w:right w:val="single" w:color="000000" w:sz="4" w:space="0"/>
            </w:tcBorders>
          </w:tcPr>
          <w:p>
            <w:pPr>
              <w:pStyle w:val="26"/>
              <w:kinsoku w:val="0"/>
              <w:snapToGrid w:val="0"/>
              <w:spacing w:line="400" w:lineRule="exact"/>
              <w:jc w:val="both"/>
              <w:rPr>
                <w:rFonts w:ascii="宋体" w:hAnsi="宋体"/>
                <w:strike w:val="0"/>
                <w:dstrike w:val="0"/>
                <w:color w:val="auto"/>
                <w:sz w:val="21"/>
                <w:szCs w:val="21"/>
                <w:highlight w:val="none"/>
              </w:rPr>
            </w:pPr>
            <w:r>
              <w:rPr>
                <w:rFonts w:hint="eastAsia" w:ascii="宋体" w:hAnsi="宋体"/>
                <w:strike w:val="0"/>
                <w:dstrike w:val="0"/>
                <w:color w:val="auto"/>
                <w:sz w:val="21"/>
                <w:szCs w:val="21"/>
                <w:highlight w:val="none"/>
              </w:rPr>
              <w:t>1.陈述和答辩人：通过资格审查和技术评审的有效投标人的拟派项目负责人。</w:t>
            </w:r>
          </w:p>
          <w:p>
            <w:pPr>
              <w:pStyle w:val="26"/>
              <w:kinsoku w:val="0"/>
              <w:snapToGrid w:val="0"/>
              <w:spacing w:line="400" w:lineRule="exact"/>
              <w:jc w:val="both"/>
              <w:rPr>
                <w:rFonts w:hint="eastAsia" w:ascii="宋体" w:hAnsi="宋体" w:eastAsia="宋体"/>
                <w:strike w:val="0"/>
                <w:dstrike w:val="0"/>
                <w:color w:val="auto"/>
                <w:sz w:val="21"/>
                <w:szCs w:val="21"/>
                <w:highlight w:val="none"/>
                <w:lang w:eastAsia="zh-CN"/>
              </w:rPr>
            </w:pPr>
            <w:r>
              <w:rPr>
                <w:rFonts w:hint="eastAsia" w:ascii="宋体" w:hAnsi="宋体"/>
                <w:strike w:val="0"/>
                <w:dstrike w:val="0"/>
                <w:color w:val="auto"/>
                <w:sz w:val="21"/>
                <w:szCs w:val="21"/>
                <w:highlight w:val="none"/>
              </w:rPr>
              <w:t>2.答辩方式：☑现场语音答复□书面答复□电子平台在线答复</w:t>
            </w:r>
            <w:r>
              <w:rPr>
                <w:rFonts w:hint="eastAsia" w:ascii="宋体" w:hAnsi="宋体"/>
                <w:strike w:val="0"/>
                <w:dstrike w:val="0"/>
                <w:color w:val="auto"/>
                <w:sz w:val="21"/>
                <w:szCs w:val="21"/>
                <w:highlight w:val="none"/>
                <w:lang w:eastAsia="zh-CN"/>
              </w:rPr>
              <w:t>。</w:t>
            </w:r>
          </w:p>
          <w:p>
            <w:pPr>
              <w:pStyle w:val="26"/>
              <w:kinsoku w:val="0"/>
              <w:snapToGrid w:val="0"/>
              <w:spacing w:line="400" w:lineRule="exact"/>
              <w:jc w:val="both"/>
              <w:rPr>
                <w:rFonts w:ascii="宋体" w:hAnsi="宋体"/>
                <w:strike w:val="0"/>
                <w:dstrike w:val="0"/>
                <w:color w:val="auto"/>
                <w:sz w:val="21"/>
                <w:szCs w:val="21"/>
                <w:highlight w:val="none"/>
              </w:rPr>
            </w:pPr>
            <w:r>
              <w:rPr>
                <w:rFonts w:hint="eastAsia" w:ascii="宋体" w:hAnsi="宋体"/>
                <w:strike w:val="0"/>
                <w:dstrike w:val="0"/>
                <w:color w:val="auto"/>
                <w:sz w:val="21"/>
                <w:szCs w:val="21"/>
                <w:highlight w:val="none"/>
              </w:rPr>
              <w:t>3.陈述和答辩通知方式及相关规定：</w:t>
            </w:r>
          </w:p>
          <w:p>
            <w:pPr>
              <w:pStyle w:val="26"/>
              <w:kinsoku w:val="0"/>
              <w:snapToGrid w:val="0"/>
              <w:spacing w:line="400" w:lineRule="exact"/>
              <w:jc w:val="both"/>
              <w:rPr>
                <w:rFonts w:ascii="宋体" w:hAnsi="宋体"/>
                <w:strike w:val="0"/>
                <w:dstrike w:val="0"/>
                <w:color w:val="auto"/>
                <w:sz w:val="21"/>
                <w:szCs w:val="21"/>
                <w:highlight w:val="none"/>
              </w:rPr>
            </w:pPr>
            <w:r>
              <w:rPr>
                <w:rFonts w:hint="eastAsia" w:ascii="宋体" w:hAnsi="宋体"/>
                <w:strike w:val="0"/>
                <w:dstrike w:val="0"/>
                <w:color w:val="auto"/>
                <w:sz w:val="21"/>
                <w:szCs w:val="21"/>
                <w:highlight w:val="none"/>
              </w:rPr>
              <w:t>（1）入围后进行预通知（通过电话或短信等方式发送给开标委托人，提醒项目负责人做好陈述和答辩准备）；</w:t>
            </w:r>
          </w:p>
          <w:p>
            <w:pPr>
              <w:pStyle w:val="26"/>
              <w:kinsoku w:val="0"/>
              <w:snapToGrid w:val="0"/>
              <w:spacing w:line="400" w:lineRule="exact"/>
              <w:jc w:val="both"/>
              <w:rPr>
                <w:rFonts w:hint="eastAsia" w:ascii="宋体" w:hAnsi="宋体" w:eastAsia="宋体"/>
                <w:strike w:val="0"/>
                <w:dstrike w:val="0"/>
                <w:color w:val="auto"/>
                <w:sz w:val="21"/>
                <w:szCs w:val="21"/>
                <w:highlight w:val="none"/>
                <w:lang w:eastAsia="zh-CN"/>
              </w:rPr>
            </w:pPr>
            <w:r>
              <w:rPr>
                <w:rFonts w:hint="eastAsia" w:ascii="宋体" w:hAnsi="宋体"/>
                <w:strike w:val="0"/>
                <w:dstrike w:val="0"/>
                <w:color w:val="auto"/>
                <w:sz w:val="21"/>
                <w:szCs w:val="21"/>
                <w:highlight w:val="none"/>
              </w:rPr>
              <w:t>（2）技术标评审评分结束后正式通知（通过电话或短信等方式发送给开标委托人，通知项目负责人进行陈述和答辩）。项目负责人未按通知要求的时间到达指定地点的，视为自动放弃陈述和答辩，该项按0分处理</w:t>
            </w:r>
            <w:r>
              <w:rPr>
                <w:rFonts w:hint="eastAsia" w:ascii="宋体" w:hAnsi="宋体"/>
                <w:strike w:val="0"/>
                <w:dstrike w:val="0"/>
                <w:color w:val="auto"/>
                <w:sz w:val="21"/>
                <w:szCs w:val="21"/>
                <w:highlight w:val="none"/>
                <w:lang w:eastAsia="zh-CN"/>
              </w:rPr>
              <w:t>；</w:t>
            </w:r>
          </w:p>
          <w:p>
            <w:pPr>
              <w:pStyle w:val="26"/>
              <w:kinsoku w:val="0"/>
              <w:snapToGrid w:val="0"/>
              <w:spacing w:line="400" w:lineRule="exact"/>
              <w:jc w:val="both"/>
              <w:rPr>
                <w:rFonts w:ascii="宋体" w:hAnsi="宋体"/>
                <w:strike w:val="0"/>
                <w:dstrike w:val="0"/>
                <w:color w:val="auto"/>
                <w:sz w:val="21"/>
                <w:szCs w:val="21"/>
                <w:highlight w:val="none"/>
              </w:rPr>
            </w:pPr>
            <w:r>
              <w:rPr>
                <w:rFonts w:hint="eastAsia" w:ascii="宋体" w:hAnsi="宋体"/>
                <w:strike w:val="0"/>
                <w:dstrike w:val="0"/>
                <w:color w:val="auto"/>
                <w:sz w:val="21"/>
                <w:szCs w:val="21"/>
                <w:highlight w:val="none"/>
              </w:rPr>
              <w:t>（3）陈述和答辩人应在陈述和答辩问题的范围内进行陈述和答辩。</w:t>
            </w:r>
          </w:p>
          <w:p>
            <w:pPr>
              <w:pStyle w:val="26"/>
              <w:kinsoku w:val="0"/>
              <w:snapToGrid w:val="0"/>
              <w:spacing w:line="400" w:lineRule="exact"/>
              <w:jc w:val="both"/>
              <w:rPr>
                <w:rFonts w:ascii="宋体" w:hAnsi="宋体"/>
                <w:strike w:val="0"/>
                <w:dstrike w:val="0"/>
                <w:color w:val="auto"/>
                <w:sz w:val="21"/>
                <w:szCs w:val="21"/>
                <w:highlight w:val="none"/>
              </w:rPr>
            </w:pPr>
            <w:r>
              <w:rPr>
                <w:rFonts w:hint="eastAsia" w:ascii="宋体" w:hAnsi="宋体"/>
                <w:strike w:val="0"/>
                <w:dstrike w:val="0"/>
                <w:color w:val="auto"/>
                <w:sz w:val="21"/>
                <w:szCs w:val="21"/>
                <w:highlight w:val="none"/>
              </w:rPr>
              <w:t>4.陈述和答辩地点：</w:t>
            </w:r>
            <w:r>
              <w:rPr>
                <w:rFonts w:hint="eastAsia" w:ascii="宋体" w:hAnsi="宋体"/>
                <w:strike w:val="0"/>
                <w:dstrike w:val="0"/>
                <w:color w:val="auto"/>
                <w:sz w:val="21"/>
                <w:szCs w:val="21"/>
                <w:highlight w:val="none"/>
                <w:u w:val="single"/>
              </w:rPr>
              <w:t xml:space="preserve"> </w:t>
            </w:r>
            <w:r>
              <w:rPr>
                <w:rFonts w:hint="eastAsia" w:ascii="宋体" w:hAnsi="宋体"/>
                <w:iCs/>
                <w:strike w:val="0"/>
                <w:dstrike w:val="0"/>
                <w:color w:val="auto"/>
                <w:sz w:val="21"/>
                <w:szCs w:val="21"/>
                <w:highlight w:val="none"/>
                <w:u w:val="single"/>
              </w:rPr>
              <w:t>绍兴市公共资源交易中心越城区分中心3楼指定答辩室</w:t>
            </w:r>
            <w:r>
              <w:rPr>
                <w:rFonts w:hint="eastAsia" w:ascii="宋体" w:hAnsi="宋体"/>
                <w:strike w:val="0"/>
                <w:dstrike w:val="0"/>
                <w:color w:val="auto"/>
                <w:sz w:val="21"/>
                <w:szCs w:val="21"/>
                <w:highlight w:val="none"/>
                <w:u w:val="single"/>
              </w:rPr>
              <w:t xml:space="preserve">  </w:t>
            </w:r>
            <w:r>
              <w:rPr>
                <w:rFonts w:hint="eastAsia" w:ascii="宋体" w:hAnsi="宋体"/>
                <w:strike w:val="0"/>
                <w:dstrike w:val="0"/>
                <w:color w:val="auto"/>
                <w:sz w:val="21"/>
                <w:szCs w:val="21"/>
                <w:highlight w:val="none"/>
              </w:rPr>
              <w:t>。</w:t>
            </w:r>
          </w:p>
          <w:p>
            <w:pPr>
              <w:pStyle w:val="26"/>
              <w:kinsoku w:val="0"/>
              <w:snapToGrid w:val="0"/>
              <w:spacing w:line="400" w:lineRule="exact"/>
              <w:jc w:val="both"/>
              <w:rPr>
                <w:rFonts w:ascii="宋体" w:hAnsi="宋体"/>
                <w:strike w:val="0"/>
                <w:dstrike w:val="0"/>
                <w:color w:val="auto"/>
                <w:sz w:val="21"/>
                <w:szCs w:val="21"/>
                <w:highlight w:val="none"/>
              </w:rPr>
            </w:pPr>
            <w:r>
              <w:rPr>
                <w:rFonts w:hint="eastAsia" w:ascii="宋体" w:hAnsi="宋体"/>
                <w:strike w:val="0"/>
                <w:dstrike w:val="0"/>
                <w:color w:val="auto"/>
                <w:sz w:val="21"/>
                <w:szCs w:val="21"/>
                <w:highlight w:val="none"/>
              </w:rPr>
              <w:t>5.陈述和答辩问题：</w:t>
            </w:r>
            <w:r>
              <w:rPr>
                <w:rFonts w:hint="eastAsia" w:ascii="宋体" w:hAnsi="宋体" w:cs="宋体"/>
                <w:b/>
                <w:bCs/>
                <w:color w:val="auto"/>
                <w:sz w:val="21"/>
                <w:szCs w:val="21"/>
                <w:highlight w:val="none"/>
                <w:u w:val="single"/>
              </w:rPr>
              <w:t>陈述和答辩问题由评标委员会根据</w:t>
            </w:r>
            <w:r>
              <w:rPr>
                <w:rFonts w:hint="eastAsia" w:ascii="宋体" w:hAnsi="宋体" w:cs="宋体"/>
                <w:b/>
                <w:bCs/>
                <w:color w:val="auto"/>
                <w:sz w:val="21"/>
                <w:szCs w:val="21"/>
                <w:highlight w:val="none"/>
                <w:u w:val="single"/>
                <w:lang w:val="en-US" w:eastAsia="zh-CN"/>
              </w:rPr>
              <w:t>本项目的重难点现场拟定一到两题</w:t>
            </w:r>
            <w:r>
              <w:rPr>
                <w:rFonts w:hint="eastAsia" w:ascii="宋体" w:hAnsi="宋体"/>
                <w:strike w:val="0"/>
                <w:dstrike w:val="0"/>
                <w:color w:val="auto"/>
                <w:sz w:val="21"/>
                <w:szCs w:val="21"/>
                <w:highlight w:val="none"/>
              </w:rPr>
              <w:t>。</w:t>
            </w:r>
          </w:p>
          <w:p>
            <w:pPr>
              <w:pStyle w:val="26"/>
              <w:kinsoku w:val="0"/>
              <w:snapToGrid w:val="0"/>
              <w:spacing w:line="400" w:lineRule="exact"/>
              <w:jc w:val="both"/>
              <w:rPr>
                <w:rFonts w:hint="eastAsia" w:ascii="宋体" w:hAnsi="宋体"/>
                <w:strike w:val="0"/>
                <w:dstrike w:val="0"/>
                <w:color w:val="auto"/>
                <w:sz w:val="21"/>
                <w:szCs w:val="21"/>
                <w:highlight w:val="none"/>
              </w:rPr>
            </w:pPr>
            <w:r>
              <w:rPr>
                <w:rFonts w:hint="eastAsia" w:ascii="宋体" w:hAnsi="宋体"/>
                <w:strike w:val="0"/>
                <w:dstrike w:val="0"/>
                <w:color w:val="auto"/>
                <w:sz w:val="21"/>
                <w:szCs w:val="21"/>
                <w:highlight w:val="none"/>
              </w:rPr>
              <w:t>6.参加答辩人员在进入答辩区域后须缴存通讯工具，进场不允许携带资料。</w:t>
            </w:r>
          </w:p>
          <w:p>
            <w:pPr>
              <w:pStyle w:val="26"/>
              <w:kinsoku w:val="0"/>
              <w:snapToGrid w:val="0"/>
              <w:spacing w:line="400" w:lineRule="exact"/>
              <w:jc w:val="both"/>
              <w:rPr>
                <w:rFonts w:hint="eastAsia" w:ascii="宋体" w:hAnsi="宋体" w:eastAsia="宋体"/>
                <w:strike w:val="0"/>
                <w:dstrike w:val="0"/>
                <w:color w:val="auto"/>
                <w:sz w:val="21"/>
                <w:szCs w:val="21"/>
                <w:highlight w:val="none"/>
                <w:lang w:eastAsia="zh-CN"/>
              </w:rPr>
            </w:pPr>
            <w:r>
              <w:rPr>
                <w:rFonts w:hint="eastAsia" w:ascii="宋体" w:hAnsi="宋体" w:cs="宋体"/>
                <w:b/>
                <w:bCs/>
                <w:color w:val="auto"/>
                <w:sz w:val="21"/>
                <w:szCs w:val="21"/>
                <w:highlight w:val="none"/>
                <w:lang w:bidi="ar"/>
              </w:rPr>
              <w:t>7.参加陈述和答辩人员须要携带身份证原件进行身份核对</w:t>
            </w:r>
            <w:r>
              <w:rPr>
                <w:rFonts w:hint="eastAsia" w:ascii="宋体" w:hAnsi="宋体" w:cs="宋体"/>
                <w:b/>
                <w:bCs/>
                <w:color w:val="auto"/>
                <w:sz w:val="21"/>
                <w:szCs w:val="21"/>
                <w:highlight w:val="none"/>
                <w:lang w:eastAsia="zh-CN" w:bidi="ar"/>
              </w:rPr>
              <w:t>。</w:t>
            </w:r>
          </w:p>
        </w:tc>
      </w:tr>
      <w:tr>
        <w:tblPrEx>
          <w:tblCellMar>
            <w:top w:w="0" w:type="dxa"/>
            <w:left w:w="57" w:type="dxa"/>
            <w:bottom w:w="0" w:type="dxa"/>
            <w:right w:w="57" w:type="dxa"/>
          </w:tblCellMar>
        </w:tblPrEx>
        <w:trPr>
          <w:trHeight w:val="1227"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10.4</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color w:val="auto"/>
                <w:sz w:val="21"/>
                <w:szCs w:val="21"/>
                <w:highlight w:val="none"/>
              </w:rPr>
              <w:t>在建合同工程的认定及变更证明</w:t>
            </w:r>
          </w:p>
        </w:tc>
        <w:tc>
          <w:tcPr>
            <w:tcW w:w="6729" w:type="dxa"/>
            <w:tcBorders>
              <w:top w:val="single" w:color="000000" w:sz="4" w:space="0"/>
              <w:left w:val="nil"/>
              <w:bottom w:val="single" w:color="000000" w:sz="4" w:space="0"/>
              <w:right w:val="single" w:color="000000" w:sz="4" w:space="0"/>
            </w:tcBorders>
            <w:vAlign w:val="center"/>
          </w:tcPr>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1.对项目负责人“有在建合同工程”的认定标准：</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（1）拟派项目负责人在投标截止时间尚有在其他在建合同工程中担任项目负责人（包括工程总承包项目中的施工负责人）的情形为“有在建合同工程”。</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（2）其他工程项目，包括在中华人民共和国境内所有建设工程，不受地域、行业和投资性质的限制。</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（3）在建合同工程的时间界定：在建合同工程的开始时间为合同工程中标通知书发出日期，或者不通过招标方式的则以合同签订日期为开始时间，结束时间为该合同工程验收合格或合同解除日期）</w:t>
            </w:r>
            <w:bookmarkStart w:id="82" w:name="bookmark193"/>
            <w:bookmarkEnd w:id="82"/>
            <w:r>
              <w:rPr>
                <w:rFonts w:hint="eastAsia" w:ascii="宋体" w:hAnsi="宋体"/>
                <w:color w:val="auto"/>
                <w:sz w:val="21"/>
                <w:szCs w:val="21"/>
                <w:highlight w:val="none"/>
              </w:rPr>
              <w:t>。</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以下情形视为“有在建合同工程”：</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（1）合同协议书尚未签订的，中标通知书中载明的项目负责人（包括工程总承包项目中的施工负责人）；</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（2）合同协议书已经签订，合同协议书中明确的项目负责人（包括工程总承包项目中的施工负责人）；</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（3）项目负责人发生更换的，以现任项目负责人（包括工程总承包项目中的施工负责人）视为有“在建合同工程”。</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2.在建项目的项目负责人办理更换后，投标时需提供的资料：</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（1）项目业主同意更换的证明；</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（2）原项目负责人在建项目信息有备案在建设主管部门的，应提供建设主管部门同意更换的证明或网上变更信息扫描件；</w:t>
            </w:r>
          </w:p>
          <w:p>
            <w:pPr>
              <w:pStyle w:val="26"/>
              <w:kinsoku w:val="0"/>
              <w:snapToGrid w:val="0"/>
              <w:spacing w:line="400" w:lineRule="exact"/>
              <w:jc w:val="both"/>
              <w:rPr>
                <w:rFonts w:ascii="宋体" w:hAnsi="宋体"/>
                <w:color w:val="auto"/>
                <w:sz w:val="21"/>
                <w:szCs w:val="21"/>
                <w:highlight w:val="none"/>
              </w:rPr>
            </w:pPr>
            <w:r>
              <w:rPr>
                <w:rFonts w:hint="eastAsia" w:ascii="宋体" w:hAnsi="宋体"/>
                <w:color w:val="auto"/>
                <w:sz w:val="21"/>
                <w:szCs w:val="21"/>
                <w:highlight w:val="none"/>
              </w:rPr>
              <w:t>3.在建合同工程和人员信息可参照全国和浙江省建筑市场监管与诚信信息平台发布的信息。</w:t>
            </w:r>
          </w:p>
        </w:tc>
      </w:tr>
      <w:tr>
        <w:tblPrEx>
          <w:tblCellMar>
            <w:top w:w="0" w:type="dxa"/>
            <w:left w:w="57" w:type="dxa"/>
            <w:bottom w:w="0" w:type="dxa"/>
            <w:right w:w="57" w:type="dxa"/>
          </w:tblCellMar>
        </w:tblPrEx>
        <w:trPr>
          <w:trHeight w:val="1281"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10.5</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color w:val="auto"/>
                <w:sz w:val="21"/>
                <w:szCs w:val="21"/>
                <w:highlight w:val="none"/>
              </w:rPr>
              <w:t>否决投标的情形</w:t>
            </w:r>
          </w:p>
        </w:tc>
        <w:tc>
          <w:tcPr>
            <w:tcW w:w="6729" w:type="dxa"/>
            <w:tcBorders>
              <w:top w:val="single" w:color="000000" w:sz="4" w:space="0"/>
              <w:left w:val="nil"/>
              <w:bottom w:val="single" w:color="000000" w:sz="4" w:space="0"/>
              <w:right w:val="single" w:color="000000" w:sz="4" w:space="0"/>
            </w:tcBorders>
            <w:vAlign w:val="center"/>
          </w:tcPr>
          <w:p>
            <w:pPr>
              <w:snapToGrid w:val="0"/>
              <w:spacing w:line="400" w:lineRule="exact"/>
              <w:ind w:right="276" w:rightChars="115"/>
              <w:rPr>
                <w:color w:val="auto"/>
                <w:sz w:val="21"/>
                <w:szCs w:val="21"/>
                <w:highlight w:val="none"/>
              </w:rPr>
            </w:pPr>
            <w:r>
              <w:rPr>
                <w:color w:val="auto"/>
                <w:sz w:val="21"/>
                <w:szCs w:val="21"/>
                <w:highlight w:val="none"/>
              </w:rPr>
              <w:t>1.</w:t>
            </w:r>
            <w:r>
              <w:rPr>
                <w:rFonts w:hint="eastAsia"/>
                <w:color w:val="auto"/>
                <w:sz w:val="21"/>
                <w:szCs w:val="21"/>
                <w:highlight w:val="none"/>
              </w:rPr>
              <w:t>投标文件存在以下情形之一的，由评标委员会审核并经过询标程序，其投标文件将被否决：</w:t>
            </w:r>
          </w:p>
          <w:p>
            <w:pPr>
              <w:snapToGrid w:val="0"/>
              <w:spacing w:line="400" w:lineRule="exact"/>
              <w:ind w:right="276" w:rightChars="115"/>
              <w:rPr>
                <w:rFonts w:cs="宋体"/>
                <w:color w:val="auto"/>
                <w:sz w:val="21"/>
                <w:szCs w:val="21"/>
                <w:highlight w:val="none"/>
              </w:rPr>
            </w:pPr>
            <w:r>
              <w:rPr>
                <w:rFonts w:hint="eastAsia"/>
                <w:color w:val="auto"/>
                <w:sz w:val="21"/>
                <w:szCs w:val="21"/>
                <w:highlight w:val="none"/>
              </w:rPr>
              <w:t>（1</w:t>
            </w:r>
            <w:r>
              <w:rPr>
                <w:rFonts w:hint="eastAsia" w:ascii="宋体" w:hAnsi="宋体"/>
                <w:color w:val="auto"/>
                <w:sz w:val="21"/>
                <w:szCs w:val="21"/>
                <w:highlight w:val="none"/>
              </w:rPr>
              <w:t>）资格审查内容：</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①</w:t>
            </w:r>
            <w:r>
              <w:rPr>
                <w:rFonts w:hint="eastAsia"/>
                <w:color w:val="auto"/>
                <w:sz w:val="21"/>
                <w:szCs w:val="21"/>
                <w:highlight w:val="none"/>
              </w:rPr>
              <w:t>投标人不满足招标文件载明的企业资质、人员资格、安全生产许可证、业绩条件（若有）的；</w:t>
            </w:r>
          </w:p>
          <w:p>
            <w:pPr>
              <w:keepNext w:val="0"/>
              <w:keepLines w:val="0"/>
              <w:pageBreakBefore w:val="0"/>
              <w:widowControl w:val="0"/>
              <w:wordWrap/>
              <w:overflowPunct/>
              <w:topLinePunct w:val="0"/>
              <w:autoSpaceDE w:val="0"/>
              <w:autoSpaceDN w:val="0"/>
              <w:bidi w:val="0"/>
              <w:adjustRightInd w:val="0"/>
              <w:snapToGrid/>
              <w:spacing w:line="43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企业资质动态核查：投标人</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日在“浙江省建筑市场监管公共服务系统”上，资质动态核查结果处理于“不合格”状态的（或者资质“合格”状态的等级低于投标要求的资质等级）；</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②</w:t>
            </w:r>
            <w:r>
              <w:rPr>
                <w:rFonts w:hint="eastAsia"/>
                <w:color w:val="auto"/>
                <w:sz w:val="21"/>
                <w:szCs w:val="21"/>
                <w:highlight w:val="none"/>
              </w:rPr>
              <w:t>投标人未按照招标文件的要求提交投标保证金的；</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③</w:t>
            </w:r>
            <w:r>
              <w:rPr>
                <w:rFonts w:hint="eastAsia"/>
                <w:color w:val="auto"/>
                <w:sz w:val="21"/>
                <w:szCs w:val="21"/>
                <w:highlight w:val="none"/>
              </w:rPr>
              <w:t>投标人被有关行政监管部门依法限制投标且在限制期内</w:t>
            </w:r>
            <w:r>
              <w:rPr>
                <w:rFonts w:hint="eastAsia"/>
                <w:color w:val="auto"/>
                <w:sz w:val="21"/>
                <w:szCs w:val="21"/>
                <w:highlight w:val="none"/>
                <w:lang w:val="en-US" w:eastAsia="zh-CN"/>
              </w:rPr>
              <w:t>的</w:t>
            </w:r>
            <w:r>
              <w:rPr>
                <w:rFonts w:hint="eastAsia"/>
                <w:color w:val="auto"/>
                <w:sz w:val="21"/>
                <w:szCs w:val="21"/>
                <w:highlight w:val="none"/>
              </w:rPr>
              <w:t>；</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④</w:t>
            </w:r>
            <w:r>
              <w:rPr>
                <w:rFonts w:hint="eastAsia"/>
                <w:color w:val="auto"/>
                <w:sz w:val="21"/>
                <w:szCs w:val="21"/>
                <w:highlight w:val="none"/>
              </w:rPr>
              <w:t>投标报价高于最高投标限价的；</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⑤</w:t>
            </w:r>
            <w:r>
              <w:rPr>
                <w:rFonts w:hint="eastAsia"/>
                <w:color w:val="auto"/>
                <w:sz w:val="21"/>
                <w:szCs w:val="21"/>
                <w:highlight w:val="none"/>
              </w:rPr>
              <w:t>不同投标人的</w:t>
            </w:r>
            <w:r>
              <w:rPr>
                <w:rFonts w:hint="eastAsia"/>
                <w:b/>
                <w:bCs/>
                <w:color w:val="auto"/>
                <w:sz w:val="21"/>
                <w:szCs w:val="21"/>
                <w:highlight w:val="none"/>
                <w:u w:val="single"/>
              </w:rPr>
              <w:t>投标文件制作机器码、文件创建标识码</w:t>
            </w:r>
            <w:r>
              <w:rPr>
                <w:rFonts w:hint="eastAsia"/>
                <w:color w:val="auto"/>
                <w:sz w:val="21"/>
                <w:szCs w:val="21"/>
                <w:highlight w:val="none"/>
              </w:rPr>
              <w:t>一致的；（具体说明</w:t>
            </w:r>
            <w:r>
              <w:rPr>
                <w:rFonts w:hint="eastAsia"/>
                <w:color w:val="auto"/>
                <w:sz w:val="21"/>
                <w:szCs w:val="21"/>
                <w:highlight w:val="none"/>
                <w:u w:val="single"/>
              </w:rPr>
              <w:t>：</w:t>
            </w:r>
            <w:r>
              <w:rPr>
                <w:rFonts w:hint="eastAsia" w:ascii="宋体" w:hAnsi="宋体" w:cs="宋体"/>
                <w:b/>
                <w:bCs/>
                <w:color w:val="auto"/>
                <w:sz w:val="21"/>
                <w:szCs w:val="21"/>
                <w:highlight w:val="none"/>
                <w:u w:val="single"/>
              </w:rPr>
              <w:t>不同投标人的投标文件检测码（或制作机器码、创建标识码）一致的；（文件制作机器码是投标人在使用投标文件制作工具时，以电脑的网卡MAC地址、硬盘序列号、CPU序列号、主板序列号以及工具标识号五大特征加密生成；文件创建标识码是投标人在使用投标文件制作工具新建投标文件时，投标文件中间件产生的一串32位编码，用于标记该文件的唯一性</w:t>
            </w:r>
            <w:r>
              <w:rPr>
                <w:rFonts w:hint="eastAsia"/>
                <w:color w:val="auto"/>
                <w:sz w:val="21"/>
                <w:szCs w:val="21"/>
                <w:highlight w:val="none"/>
                <w:u w:val="single"/>
              </w:rPr>
              <w:t xml:space="preserve"> 。</w:t>
            </w:r>
            <w:r>
              <w:rPr>
                <w:rFonts w:hint="eastAsia"/>
                <w:color w:val="auto"/>
                <w:sz w:val="21"/>
                <w:szCs w:val="21"/>
                <w:highlight w:val="none"/>
              </w:rPr>
              <w:t>）</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⑥</w:t>
            </w:r>
            <w:r>
              <w:rPr>
                <w:rFonts w:ascii="Wingdings 2" w:hAnsi="Wingdings 2"/>
                <w:color w:val="auto"/>
                <w:sz w:val="21"/>
                <w:szCs w:val="21"/>
                <w:highlight w:val="none"/>
              </w:rPr>
              <w:t>□</w:t>
            </w:r>
            <w:r>
              <w:rPr>
                <w:rFonts w:hint="eastAsia"/>
                <w:color w:val="auto"/>
                <w:sz w:val="21"/>
                <w:szCs w:val="21"/>
                <w:highlight w:val="none"/>
              </w:rPr>
              <w:t>投标人提供的纸质投标文件水印码与电子投标文件不一致的；</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⑦</w:t>
            </w:r>
            <w:r>
              <w:rPr>
                <w:rFonts w:hint="eastAsia"/>
                <w:color w:val="auto"/>
                <w:sz w:val="21"/>
                <w:szCs w:val="21"/>
                <w:highlight w:val="none"/>
              </w:rPr>
              <w:t>委托代理人未提供有效的授权委托书的；</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ascii="Calibri" w:hAnsi="Calibri"/>
                <w:color w:val="auto"/>
                <w:sz w:val="21"/>
                <w:szCs w:val="21"/>
                <w:highlight w:val="none"/>
              </w:rPr>
            </w:pPr>
            <w:r>
              <w:rPr>
                <w:rFonts w:hint="eastAsia" w:ascii="宋体" w:hAnsi="宋体"/>
                <w:color w:val="auto"/>
                <w:sz w:val="21"/>
                <w:szCs w:val="21"/>
                <w:highlight w:val="none"/>
              </w:rPr>
              <w:t>⑧</w:t>
            </w:r>
            <w:r>
              <w:rPr>
                <w:rFonts w:hint="eastAsia" w:ascii="Calibri" w:hAnsi="Calibri"/>
                <w:color w:val="auto"/>
                <w:sz w:val="21"/>
                <w:szCs w:val="21"/>
                <w:highlight w:val="none"/>
              </w:rPr>
              <w:t>投标人及其拟派项目负责人被列入建筑市场失信名单（黑名单）的（以全国和浙江省建筑市场监管与诚信信息发布平台为准）；</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w:t>
            </w:r>
            <w:r>
              <w:rPr>
                <w:rFonts w:hint="eastAsia"/>
                <w:color w:val="auto"/>
                <w:sz w:val="21"/>
                <w:szCs w:val="21"/>
                <w:highlight w:val="none"/>
              </w:rPr>
              <w:t>投标人及其拟派项目负责人被列入招标投标失信黑名单的（以浙江省发展和改革委员会公布的披露期内的失信黑名单为准）；</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⑨</w:t>
            </w:r>
            <w:r>
              <w:rPr>
                <w:rFonts w:hint="eastAsia"/>
                <w:color w:val="auto"/>
                <w:sz w:val="21"/>
                <w:szCs w:val="21"/>
                <w:highlight w:val="none"/>
              </w:rPr>
              <w:t>存在法律、法规、规章规定的其它否决投标情况的；</w:t>
            </w:r>
          </w:p>
          <w:p>
            <w:pPr>
              <w:keepNext w:val="0"/>
              <w:keepLines w:val="0"/>
              <w:pageBreakBefore w:val="0"/>
              <w:widowControl w:val="0"/>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⑩</w:t>
            </w:r>
            <w:r>
              <w:rPr>
                <w:rFonts w:hint="eastAsia"/>
                <w:color w:val="auto"/>
                <w:sz w:val="21"/>
                <w:szCs w:val="21"/>
                <w:highlight w:val="none"/>
              </w:rPr>
              <w:t>其他：</w:t>
            </w:r>
            <w:r>
              <w:rPr>
                <w:rFonts w:hint="eastAsia" w:ascii="宋体" w:hAnsi="宋体" w:cs="Arial"/>
                <w:b/>
                <w:bCs/>
                <w:color w:val="auto"/>
                <w:sz w:val="21"/>
                <w:szCs w:val="21"/>
                <w:highlight w:val="none"/>
                <w:u w:val="single"/>
              </w:rPr>
              <w:t>若拟派项目负责人为一级注册建造师且提供的注册证书为电子证书的，应符合《住房和城乡建设部办公厅关于全面实行一级建造师电子注册证书的通知》（建办市【2021】40号）文，须在个人签名处手写本人签名，未手写签名或与签名图像笔迹不一致的，该电子证书无效，资格审查不予通过</w:t>
            </w:r>
            <w:r>
              <w:rPr>
                <w:rFonts w:hint="eastAsia"/>
                <w:color w:val="auto"/>
                <w:sz w:val="21"/>
                <w:szCs w:val="21"/>
                <w:highlight w:val="none"/>
                <w:u w:val="single"/>
              </w:rPr>
              <w:t xml:space="preserve">  </w:t>
            </w:r>
            <w:r>
              <w:rPr>
                <w:rFonts w:hint="eastAsia"/>
                <w:color w:val="auto"/>
                <w:sz w:val="21"/>
                <w:szCs w:val="21"/>
                <w:highlight w:val="none"/>
              </w:rPr>
              <w:t>。</w:t>
            </w:r>
          </w:p>
          <w:p>
            <w:pPr>
              <w:keepNext w:val="0"/>
              <w:keepLines w:val="0"/>
              <w:pageBreakBefore w:val="0"/>
              <w:widowControl w:val="0"/>
              <w:numPr>
                <w:ilvl w:val="0"/>
                <w:numId w:val="3"/>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color w:val="auto"/>
                <w:sz w:val="21"/>
                <w:szCs w:val="21"/>
                <w:highlight w:val="none"/>
              </w:rPr>
              <w:t>初步评审内容：</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①</w:t>
            </w:r>
            <w:r>
              <w:rPr>
                <w:rFonts w:hint="eastAsia"/>
                <w:color w:val="auto"/>
                <w:sz w:val="21"/>
                <w:szCs w:val="21"/>
                <w:highlight w:val="none"/>
              </w:rPr>
              <w:t>投标文件未经投标人盖章的；投标文件未经法定代表人（或提供有效“授权委托书”的委托代理人）签字和盖章的；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②</w:t>
            </w:r>
            <w:r>
              <w:rPr>
                <w:rFonts w:hint="eastAsia"/>
                <w:color w:val="auto"/>
                <w:sz w:val="21"/>
                <w:szCs w:val="21"/>
                <w:highlight w:val="none"/>
              </w:rPr>
              <w:t>投标文件中投标函或投标承诺书未按要求填写；</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③</w:t>
            </w:r>
            <w:r>
              <w:rPr>
                <w:rFonts w:hint="eastAsia"/>
                <w:color w:val="auto"/>
                <w:sz w:val="21"/>
                <w:szCs w:val="21"/>
                <w:highlight w:val="none"/>
              </w:rPr>
              <w:t>投标人递交两份或多份内容不同的投标文件，或在一份投标文件中对同一招标项目报有两个或以上报价，且未声明哪一个有效；</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④</w:t>
            </w:r>
            <w:r>
              <w:rPr>
                <w:rFonts w:hint="eastAsia"/>
                <w:color w:val="auto"/>
                <w:sz w:val="21"/>
                <w:szCs w:val="21"/>
                <w:highlight w:val="none"/>
              </w:rPr>
              <w:t>组成联合体投标的，投标文件未附联合体各方共同投标协议的；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⑤</w:t>
            </w:r>
            <w:r>
              <w:rPr>
                <w:rFonts w:hint="eastAsia"/>
                <w:color w:val="auto"/>
                <w:sz w:val="21"/>
                <w:szCs w:val="21"/>
                <w:highlight w:val="none"/>
              </w:rPr>
              <w:t>投标文件不能满足招标文件载明的工程质量、工程验收标准、施工工期、保修期要求的；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⑥</w:t>
            </w:r>
            <w:r>
              <w:rPr>
                <w:rFonts w:hint="eastAsia"/>
                <w:color w:val="auto"/>
                <w:sz w:val="21"/>
                <w:szCs w:val="21"/>
                <w:highlight w:val="none"/>
              </w:rPr>
              <w:t>存在法律、法规、规章规定的其它否决投标情况的；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textAlignment w:val="auto"/>
              <w:rPr>
                <w:rFonts w:hint="eastAsia"/>
                <w:color w:val="auto"/>
                <w:sz w:val="21"/>
                <w:szCs w:val="21"/>
                <w:highlight w:val="none"/>
              </w:rPr>
            </w:pPr>
            <w:r>
              <w:rPr>
                <w:rFonts w:hint="eastAsia" w:ascii="宋体" w:hAnsi="宋体"/>
                <w:color w:val="auto"/>
                <w:sz w:val="21"/>
                <w:szCs w:val="21"/>
                <w:highlight w:val="none"/>
              </w:rPr>
              <w:t>⑦</w:t>
            </w:r>
            <w:r>
              <w:rPr>
                <w:rFonts w:hint="eastAsia"/>
                <w:color w:val="auto"/>
                <w:sz w:val="21"/>
                <w:szCs w:val="21"/>
                <w:highlight w:val="none"/>
              </w:rPr>
              <w:t>其他：</w:t>
            </w:r>
            <w:r>
              <w:rPr>
                <w:rFonts w:hint="eastAsia"/>
                <w:color w:val="auto"/>
                <w:sz w:val="21"/>
                <w:szCs w:val="21"/>
                <w:highlight w:val="none"/>
                <w:u w:val="single"/>
              </w:rPr>
              <w:t xml:space="preserve">        /          </w:t>
            </w:r>
            <w:r>
              <w:rPr>
                <w:rFonts w:hint="eastAsia"/>
                <w:color w:val="auto"/>
                <w:sz w:val="21"/>
                <w:szCs w:val="21"/>
                <w:highlight w:val="none"/>
              </w:rPr>
              <w:t>。</w:t>
            </w:r>
          </w:p>
          <w:p>
            <w:pPr>
              <w:keepNext w:val="0"/>
              <w:keepLines w:val="0"/>
              <w:pageBreakBefore w:val="0"/>
              <w:widowControl w:val="0"/>
              <w:numPr>
                <w:ilvl w:val="0"/>
                <w:numId w:val="3"/>
              </w:numPr>
              <w:wordWrap/>
              <w:overflowPunct/>
              <w:topLinePunct w:val="0"/>
              <w:autoSpaceDE w:val="0"/>
              <w:autoSpaceDN w:val="0"/>
              <w:bidi w:val="0"/>
              <w:adjustRightInd w:val="0"/>
              <w:snapToGrid/>
              <w:spacing w:line="430" w:lineRule="exact"/>
              <w:ind w:left="0" w:leftChars="0" w:firstLine="0" w:firstLineChars="0"/>
              <w:textAlignment w:val="auto"/>
              <w:rPr>
                <w:rFonts w:hint="eastAsia"/>
                <w:color w:val="auto"/>
                <w:sz w:val="21"/>
                <w:szCs w:val="21"/>
                <w:highlight w:val="none"/>
              </w:rPr>
            </w:pPr>
            <w:r>
              <w:rPr>
                <w:rFonts w:hint="eastAsia" w:ascii="宋体" w:hAnsi="宋体"/>
                <w:color w:val="auto"/>
                <w:sz w:val="21"/>
                <w:szCs w:val="21"/>
                <w:highlight w:val="none"/>
              </w:rPr>
              <w:t>☑</w:t>
            </w:r>
            <w:r>
              <w:rPr>
                <w:rFonts w:hint="eastAsia"/>
                <w:color w:val="auto"/>
                <w:sz w:val="21"/>
                <w:szCs w:val="21"/>
                <w:highlight w:val="none"/>
              </w:rPr>
              <w:t>技术标评审内容：</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①</w:t>
            </w:r>
            <w:r>
              <w:rPr>
                <w:rFonts w:hint="eastAsia"/>
                <w:color w:val="auto"/>
                <w:sz w:val="21"/>
                <w:szCs w:val="21"/>
                <w:highlight w:val="none"/>
              </w:rPr>
              <w:t>项目管理班子配备不能满足要求的；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②</w:t>
            </w:r>
            <w:r>
              <w:rPr>
                <w:rFonts w:hint="eastAsia"/>
                <w:color w:val="auto"/>
                <w:sz w:val="21"/>
                <w:szCs w:val="21"/>
                <w:highlight w:val="none"/>
              </w:rPr>
              <w:t>关键施工技术方案不可行的；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③</w:t>
            </w:r>
            <w:r>
              <w:rPr>
                <w:rFonts w:hint="eastAsia"/>
                <w:color w:val="auto"/>
                <w:sz w:val="21"/>
                <w:szCs w:val="21"/>
                <w:highlight w:val="none"/>
              </w:rPr>
              <w:t>生产措施存在重大安全隐患的；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④</w:t>
            </w:r>
            <w:r>
              <w:rPr>
                <w:rFonts w:hint="eastAsia"/>
                <w:color w:val="auto"/>
                <w:sz w:val="21"/>
                <w:szCs w:val="21"/>
                <w:highlight w:val="none"/>
              </w:rPr>
              <w:t>主要施工机械设备不能满足施工需要的；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⑤</w:t>
            </w:r>
            <w:r>
              <w:rPr>
                <w:rFonts w:hint="eastAsia"/>
                <w:color w:val="auto"/>
                <w:sz w:val="21"/>
                <w:szCs w:val="21"/>
                <w:highlight w:val="none"/>
              </w:rPr>
              <w:t>采用的验收标准或主要技术指标达不到国家强制性标准或招标文件要求的；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⑥</w:t>
            </w:r>
            <w:r>
              <w:rPr>
                <w:rFonts w:hint="eastAsia"/>
                <w:color w:val="auto"/>
                <w:sz w:val="21"/>
                <w:szCs w:val="21"/>
                <w:highlight w:val="none"/>
              </w:rPr>
              <w:t>采用的施工工艺、方法或质量安全管理措施不能满足国家强制性标准或要求的。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color w:val="auto"/>
                <w:sz w:val="21"/>
                <w:szCs w:val="21"/>
                <w:highlight w:val="none"/>
              </w:rPr>
              <w:t>⑦存在法律、法规、规章规定的其它否决投标情况的；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color w:val="auto"/>
                <w:sz w:val="21"/>
                <w:szCs w:val="21"/>
                <w:highlight w:val="none"/>
              </w:rPr>
              <w:t>⑧</w:t>
            </w:r>
            <w:r>
              <w:rPr>
                <w:color w:val="auto"/>
                <w:sz w:val="21"/>
                <w:szCs w:val="21"/>
                <w:highlight w:val="none"/>
              </w:rPr>
              <w:t>其他：</w:t>
            </w:r>
            <w:r>
              <w:rPr>
                <w:rFonts w:hint="eastAsia"/>
                <w:iCs/>
                <w:color w:val="auto"/>
                <w:sz w:val="21"/>
                <w:szCs w:val="21"/>
                <w:highlight w:val="none"/>
                <w:u w:val="single"/>
              </w:rPr>
              <w:t xml:space="preserve">/ </w:t>
            </w:r>
            <w:r>
              <w:rPr>
                <w:rFonts w:hint="eastAsia"/>
                <w:color w:val="auto"/>
                <w:sz w:val="21"/>
                <w:szCs w:val="21"/>
                <w:highlight w:val="none"/>
                <w:u w:val="single"/>
              </w:rPr>
              <w:t xml:space="preserve"> </w:t>
            </w:r>
            <w:r>
              <w:rPr>
                <w:rFonts w:hint="eastAsia"/>
                <w:color w:val="auto"/>
                <w:sz w:val="21"/>
                <w:szCs w:val="21"/>
                <w:highlight w:val="none"/>
              </w:rPr>
              <w:t xml:space="preserve"> 。</w:t>
            </w:r>
          </w:p>
          <w:p>
            <w:pPr>
              <w:keepNext w:val="0"/>
              <w:keepLines w:val="0"/>
              <w:pageBreakBefore w:val="0"/>
              <w:widowControl w:val="0"/>
              <w:numPr>
                <w:ilvl w:val="0"/>
                <w:numId w:val="3"/>
              </w:numPr>
              <w:wordWrap/>
              <w:overflowPunct/>
              <w:topLinePunct w:val="0"/>
              <w:autoSpaceDE w:val="0"/>
              <w:autoSpaceDN w:val="0"/>
              <w:bidi w:val="0"/>
              <w:adjustRightInd w:val="0"/>
              <w:snapToGrid/>
              <w:spacing w:line="430" w:lineRule="exact"/>
              <w:ind w:left="0" w:leftChars="0" w:firstLine="0" w:firstLineChars="0"/>
              <w:textAlignment w:val="auto"/>
              <w:rPr>
                <w:rFonts w:hint="eastAsia"/>
                <w:color w:val="auto"/>
                <w:sz w:val="21"/>
                <w:szCs w:val="21"/>
                <w:highlight w:val="none"/>
              </w:rPr>
            </w:pPr>
            <w:r>
              <w:rPr>
                <w:rFonts w:hint="eastAsia"/>
                <w:color w:val="auto"/>
                <w:sz w:val="21"/>
                <w:szCs w:val="21"/>
                <w:highlight w:val="none"/>
              </w:rPr>
              <w:t>商务标评审内容：</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①</w:t>
            </w:r>
            <w:r>
              <w:rPr>
                <w:rFonts w:hint="eastAsia"/>
                <w:color w:val="auto"/>
                <w:sz w:val="21"/>
                <w:szCs w:val="21"/>
                <w:highlight w:val="none"/>
              </w:rPr>
              <w:t>安全文明施工费用（包括安全文明施工基本费和创建安全文明施工标化工地增加费）未按照招标文件和工程量清单要求填报的；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②</w:t>
            </w:r>
            <w:r>
              <w:rPr>
                <w:rFonts w:hint="eastAsia"/>
                <w:color w:val="auto"/>
                <w:sz w:val="21"/>
                <w:szCs w:val="21"/>
                <w:highlight w:val="none"/>
              </w:rPr>
              <w:t>规费、税金报价不符合现行规定的；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③</w:t>
            </w:r>
            <w:r>
              <w:rPr>
                <w:rFonts w:hint="eastAsia"/>
                <w:color w:val="auto"/>
                <w:sz w:val="21"/>
                <w:szCs w:val="21"/>
                <w:highlight w:val="none"/>
              </w:rPr>
              <w:t>改变招标文件提供的工程量清单（含分部分项工程及措施项目、其他项目清单项目的编码、项目名称、计量单位、工程数量、项目特征描述）的；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④</w:t>
            </w:r>
            <w:r>
              <w:rPr>
                <w:rFonts w:hint="eastAsia"/>
                <w:color w:val="auto"/>
                <w:sz w:val="21"/>
                <w:szCs w:val="21"/>
                <w:highlight w:val="none"/>
              </w:rPr>
              <w:t>改变招标文件和工程量清单明确的暂列金额和暂估价的；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ascii="宋体" w:hAnsi="宋体"/>
                <w:color w:val="auto"/>
                <w:sz w:val="21"/>
                <w:szCs w:val="21"/>
                <w:highlight w:val="none"/>
              </w:rPr>
              <w:t>⑤</w:t>
            </w:r>
            <w:r>
              <w:rPr>
                <w:rFonts w:hint="eastAsia"/>
                <w:color w:val="auto"/>
                <w:sz w:val="21"/>
                <w:szCs w:val="21"/>
                <w:highlight w:val="none"/>
              </w:rPr>
              <w:t>经评标委员会认定投标人的投标报价低于成本价，且投标人对其报价不能充分说明理由，或提供的相关资料无法证明报价不低于其成本价的；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color w:val="auto"/>
                <w:sz w:val="21"/>
                <w:szCs w:val="21"/>
                <w:highlight w:val="none"/>
              </w:rPr>
              <w:t>⑥投标文件的编制人接受同一工程招标人委托编制招标文件（含招标控制价)，或接受其他投标人委托编制投标文件的。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rFonts w:hint="eastAsia"/>
                <w:color w:val="auto"/>
                <w:sz w:val="21"/>
                <w:szCs w:val="21"/>
                <w:highlight w:val="none"/>
              </w:rPr>
            </w:pPr>
            <w:r>
              <w:rPr>
                <w:rFonts w:hint="eastAsia"/>
                <w:color w:val="auto"/>
                <w:sz w:val="21"/>
                <w:szCs w:val="21"/>
                <w:highlight w:val="none"/>
              </w:rPr>
              <w:t>⑦存在法律、法规、规章规定的其它否决投标情况的；</w:t>
            </w:r>
          </w:p>
          <w:p>
            <w:pPr>
              <w:keepNext w:val="0"/>
              <w:keepLines w:val="0"/>
              <w:pageBreakBefore w:val="0"/>
              <w:widowControl w:val="0"/>
              <w:numPr>
                <w:ilvl w:val="0"/>
                <w:numId w:val="0"/>
              </w:numPr>
              <w:wordWrap/>
              <w:overflowPunct/>
              <w:topLinePunct w:val="0"/>
              <w:autoSpaceDE w:val="0"/>
              <w:autoSpaceDN w:val="0"/>
              <w:bidi w:val="0"/>
              <w:adjustRightInd w:val="0"/>
              <w:snapToGrid/>
              <w:spacing w:line="430" w:lineRule="exact"/>
              <w:ind w:leftChars="0"/>
              <w:textAlignment w:val="auto"/>
              <w:rPr>
                <w:color w:val="auto"/>
                <w:sz w:val="21"/>
                <w:szCs w:val="21"/>
                <w:highlight w:val="none"/>
              </w:rPr>
            </w:pPr>
            <w:r>
              <w:rPr>
                <w:rFonts w:hint="eastAsia"/>
                <w:color w:val="auto"/>
                <w:sz w:val="21"/>
                <w:szCs w:val="21"/>
                <w:highlight w:val="none"/>
              </w:rPr>
              <w:t>⑧</w:t>
            </w:r>
            <w:r>
              <w:rPr>
                <w:color w:val="auto"/>
                <w:sz w:val="21"/>
                <w:szCs w:val="21"/>
                <w:highlight w:val="none"/>
              </w:rPr>
              <w:t>其他：</w:t>
            </w:r>
            <w:r>
              <w:rPr>
                <w:rFonts w:hint="eastAsia"/>
                <w:color w:val="auto"/>
                <w:sz w:val="21"/>
                <w:szCs w:val="21"/>
                <w:highlight w:val="none"/>
                <w:u w:val="single"/>
              </w:rPr>
              <w:t xml:space="preserve">          /            </w:t>
            </w:r>
            <w:r>
              <w:rPr>
                <w:rFonts w:hint="eastAsia"/>
                <w:color w:val="auto"/>
                <w:sz w:val="21"/>
                <w:szCs w:val="21"/>
                <w:highlight w:val="none"/>
              </w:rPr>
              <w:t>。</w:t>
            </w:r>
          </w:p>
          <w:p>
            <w:pPr>
              <w:pStyle w:val="28"/>
              <w:numPr>
                <w:ilvl w:val="0"/>
                <w:numId w:val="0"/>
              </w:numPr>
              <w:snapToGrid w:val="0"/>
              <w:spacing w:line="400" w:lineRule="exact"/>
              <w:ind w:leftChars="0"/>
              <w:rPr>
                <w:rFonts w:ascii="Calibri" w:hAnsi="Calibri"/>
                <w:color w:val="auto"/>
                <w:sz w:val="21"/>
                <w:szCs w:val="21"/>
                <w:highlight w:val="none"/>
              </w:rPr>
            </w:pPr>
            <w:r>
              <w:rPr>
                <w:rFonts w:hint="eastAsia" w:ascii="Calibri" w:hAnsi="Calibri" w:cs="Times New Roman"/>
                <w:color w:val="auto"/>
                <w:sz w:val="21"/>
                <w:szCs w:val="21"/>
                <w:highlight w:val="none"/>
                <w:lang w:eastAsia="zh-CN"/>
              </w:rPr>
              <w:t>（</w:t>
            </w:r>
            <w:r>
              <w:rPr>
                <w:rFonts w:hint="eastAsia" w:ascii="Calibri" w:hAnsi="Calibri" w:cs="Times New Roman"/>
                <w:color w:val="auto"/>
                <w:sz w:val="21"/>
                <w:szCs w:val="21"/>
                <w:highlight w:val="none"/>
                <w:lang w:val="en-US" w:eastAsia="zh-CN"/>
              </w:rPr>
              <w:t>5</w:t>
            </w:r>
            <w:r>
              <w:rPr>
                <w:rFonts w:hint="eastAsia" w:ascii="Calibri" w:hAnsi="Calibri" w:cs="Times New Roman"/>
                <w:color w:val="auto"/>
                <w:sz w:val="21"/>
                <w:szCs w:val="21"/>
                <w:highlight w:val="none"/>
                <w:lang w:eastAsia="zh-CN"/>
              </w:rPr>
              <w:t>）</w:t>
            </w:r>
            <w:r>
              <w:rPr>
                <w:rFonts w:hint="eastAsia" w:ascii="Calibri" w:hAnsi="Calibri" w:cs="Times New Roman"/>
                <w:color w:val="auto"/>
                <w:sz w:val="21"/>
                <w:szCs w:val="21"/>
                <w:highlight w:val="none"/>
              </w:rPr>
              <w:t>其他：</w:t>
            </w:r>
          </w:p>
          <w:p>
            <w:pPr>
              <w:pStyle w:val="28"/>
              <w:snapToGrid w:val="0"/>
              <w:spacing w:line="400" w:lineRule="exact"/>
              <w:ind w:firstLine="0" w:firstLineChars="0"/>
              <w:rPr>
                <w:rFonts w:ascii="Calibri" w:hAnsi="Calibri"/>
                <w:color w:val="auto"/>
                <w:sz w:val="21"/>
                <w:szCs w:val="21"/>
                <w:highlight w:val="none"/>
              </w:rPr>
            </w:pPr>
            <w:r>
              <w:rPr>
                <w:rFonts w:hint="eastAsia" w:cs="Times New Roman"/>
                <w:color w:val="auto"/>
                <w:sz w:val="21"/>
                <w:szCs w:val="21"/>
                <w:highlight w:val="none"/>
              </w:rPr>
              <w:t>①</w:t>
            </w:r>
            <w:r>
              <w:rPr>
                <w:rFonts w:hint="eastAsia" w:ascii="Calibri" w:hAnsi="Calibri" w:cs="Times New Roman"/>
                <w:color w:val="auto"/>
                <w:sz w:val="21"/>
                <w:szCs w:val="21"/>
                <w:highlight w:val="none"/>
              </w:rPr>
              <w:t>法律、法规、规章规定其他应否决投标的情形；</w:t>
            </w:r>
          </w:p>
          <w:p>
            <w:pPr>
              <w:pStyle w:val="28"/>
              <w:snapToGrid w:val="0"/>
              <w:spacing w:line="400" w:lineRule="exact"/>
              <w:ind w:firstLine="0" w:firstLineChars="0"/>
              <w:rPr>
                <w:rFonts w:cs="Times New Roman"/>
                <w:color w:val="auto"/>
                <w:sz w:val="21"/>
                <w:szCs w:val="21"/>
                <w:highlight w:val="none"/>
              </w:rPr>
            </w:pPr>
            <w:r>
              <w:rPr>
                <w:rFonts w:hint="eastAsia" w:cs="Times New Roman"/>
                <w:color w:val="auto"/>
                <w:sz w:val="21"/>
                <w:szCs w:val="21"/>
                <w:highlight w:val="none"/>
              </w:rPr>
              <w:t>②</w:t>
            </w:r>
            <w:r>
              <w:rPr>
                <w:rFonts w:hint="eastAsia" w:ascii="Calibri" w:hAnsi="Calibri" w:cs="Times New Roman"/>
                <w:color w:val="auto"/>
                <w:sz w:val="21"/>
                <w:szCs w:val="21"/>
                <w:highlight w:val="none"/>
              </w:rPr>
              <w:t>在投标截止时间前，投标人被列入失信被执行人名单的；</w:t>
            </w:r>
          </w:p>
          <w:p>
            <w:pPr>
              <w:pStyle w:val="28"/>
              <w:snapToGrid w:val="0"/>
              <w:spacing w:line="400" w:lineRule="exact"/>
              <w:ind w:firstLine="0" w:firstLineChars="0"/>
              <w:rPr>
                <w:rFonts w:cs="Times New Roman"/>
                <w:color w:val="auto"/>
                <w:sz w:val="21"/>
                <w:szCs w:val="21"/>
                <w:highlight w:val="none"/>
              </w:rPr>
            </w:pPr>
            <w:r>
              <w:rPr>
                <w:rFonts w:hint="eastAsia" w:cs="Times New Roman"/>
                <w:color w:val="auto"/>
                <w:sz w:val="21"/>
                <w:szCs w:val="21"/>
                <w:highlight w:val="none"/>
              </w:rPr>
              <w:t>③投标人及其拟派项目负责人在本招标文件（招标公告）规定时间范围内有行贿犯罪记录的；</w:t>
            </w:r>
          </w:p>
          <w:p>
            <w:pPr>
              <w:pStyle w:val="28"/>
              <w:snapToGrid w:val="0"/>
              <w:spacing w:line="400" w:lineRule="exact"/>
              <w:ind w:firstLine="0" w:firstLineChars="0"/>
              <w:rPr>
                <w:rFonts w:ascii="Calibri" w:hAnsi="Calibri"/>
                <w:color w:val="auto"/>
                <w:sz w:val="21"/>
                <w:szCs w:val="21"/>
                <w:highlight w:val="none"/>
              </w:rPr>
            </w:pPr>
            <w:r>
              <w:rPr>
                <w:rFonts w:hint="eastAsia" w:cs="Times New Roman"/>
                <w:color w:val="auto"/>
                <w:sz w:val="21"/>
                <w:szCs w:val="21"/>
                <w:highlight w:val="none"/>
              </w:rPr>
              <w:t>④</w:t>
            </w:r>
            <w:r>
              <w:rPr>
                <w:rFonts w:hint="eastAsia" w:ascii="Calibri" w:hAnsi="Calibri" w:cs="Times New Roman"/>
                <w:color w:val="auto"/>
                <w:sz w:val="21"/>
                <w:szCs w:val="21"/>
                <w:highlight w:val="none"/>
              </w:rPr>
              <w:t>投标人未按投标人须知前附表10.2</w:t>
            </w:r>
            <w:r>
              <w:rPr>
                <w:rFonts w:hint="eastAsia" w:cs="Times New Roman"/>
                <w:color w:val="auto"/>
                <w:sz w:val="21"/>
                <w:szCs w:val="21"/>
                <w:highlight w:val="none"/>
              </w:rPr>
              <w:t>项，投标人须知第</w:t>
            </w:r>
            <w:r>
              <w:rPr>
                <w:rFonts w:ascii="Calibri" w:hAnsi="Calibri"/>
                <w:color w:val="auto"/>
                <w:sz w:val="21"/>
                <w:szCs w:val="21"/>
                <w:highlight w:val="none"/>
              </w:rPr>
              <w:t>1.4.4</w:t>
            </w:r>
            <w:r>
              <w:rPr>
                <w:rFonts w:hint="eastAsia" w:ascii="Calibri" w:hAnsi="Calibri" w:cs="Times New Roman"/>
                <w:color w:val="auto"/>
                <w:sz w:val="21"/>
                <w:szCs w:val="21"/>
                <w:highlight w:val="none"/>
              </w:rPr>
              <w:t>项、1.12</w:t>
            </w:r>
            <w:r>
              <w:rPr>
                <w:rFonts w:hint="eastAsia" w:cs="Times New Roman"/>
                <w:color w:val="auto"/>
                <w:sz w:val="21"/>
                <w:szCs w:val="21"/>
                <w:highlight w:val="none"/>
              </w:rPr>
              <w:t>项和</w:t>
            </w:r>
            <w:r>
              <w:rPr>
                <w:rFonts w:hint="eastAsia" w:ascii="Calibri" w:hAnsi="Calibri" w:cs="Times New Roman"/>
                <w:color w:val="auto"/>
                <w:sz w:val="21"/>
                <w:szCs w:val="21"/>
                <w:highlight w:val="none"/>
              </w:rPr>
              <w:t>3.6</w:t>
            </w:r>
            <w:r>
              <w:rPr>
                <w:rFonts w:hint="eastAsia" w:cs="Times New Roman"/>
                <w:color w:val="auto"/>
                <w:sz w:val="21"/>
                <w:szCs w:val="21"/>
                <w:highlight w:val="none"/>
              </w:rPr>
              <w:t>项规定执行的；</w:t>
            </w:r>
          </w:p>
          <w:p>
            <w:pPr>
              <w:pStyle w:val="28"/>
              <w:snapToGrid w:val="0"/>
              <w:spacing w:line="400" w:lineRule="exact"/>
              <w:ind w:firstLine="0" w:firstLineChars="0"/>
              <w:rPr>
                <w:rFonts w:hint="eastAsia" w:ascii="Calibri" w:hAnsi="Calibri" w:cs="Times New Roman"/>
                <w:color w:val="auto"/>
                <w:sz w:val="21"/>
                <w:szCs w:val="21"/>
                <w:highlight w:val="none"/>
              </w:rPr>
            </w:pPr>
            <w:r>
              <w:rPr>
                <w:rFonts w:hint="eastAsia" w:cs="Times New Roman"/>
                <w:color w:val="auto"/>
                <w:sz w:val="21"/>
                <w:szCs w:val="21"/>
                <w:highlight w:val="none"/>
              </w:rPr>
              <w:t>⑤</w:t>
            </w:r>
            <w:r>
              <w:rPr>
                <w:rFonts w:hint="eastAsia" w:ascii="Calibri" w:hAnsi="Calibri" w:cs="Times New Roman"/>
                <w:color w:val="auto"/>
                <w:sz w:val="21"/>
                <w:szCs w:val="21"/>
                <w:highlight w:val="none"/>
              </w:rPr>
              <w:t>存在法律、法规、规章规定的其它否决投标情况的。</w:t>
            </w:r>
          </w:p>
          <w:p>
            <w:pPr>
              <w:pStyle w:val="28"/>
              <w:snapToGrid w:val="0"/>
              <w:spacing w:line="400" w:lineRule="exact"/>
              <w:ind w:firstLine="0" w:firstLineChars="0"/>
              <w:rPr>
                <w:color w:val="auto"/>
                <w:sz w:val="21"/>
                <w:szCs w:val="21"/>
                <w:highlight w:val="none"/>
              </w:rPr>
            </w:pPr>
            <w:r>
              <w:rPr>
                <w:rFonts w:hint="eastAsia"/>
                <w:color w:val="auto"/>
                <w:sz w:val="21"/>
                <w:szCs w:val="21"/>
                <w:highlight w:val="none"/>
              </w:rPr>
              <w:t>注：凡评标委员会拟作出否决投标决定的，应先向投标人进行书面询问核对。</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10.6</w:t>
            </w:r>
          </w:p>
        </w:tc>
        <w:tc>
          <w:tcPr>
            <w:tcW w:w="1826" w:type="dxa"/>
            <w:tcBorders>
              <w:top w:val="single" w:color="000000" w:sz="4" w:space="0"/>
              <w:left w:val="nil"/>
              <w:bottom w:val="single" w:color="000000" w:sz="4" w:space="0"/>
              <w:right w:val="single" w:color="000000" w:sz="4" w:space="0"/>
            </w:tcBorders>
            <w:vAlign w:val="center"/>
          </w:tcPr>
          <w:p>
            <w:pPr>
              <w:pStyle w:val="26"/>
              <w:kinsoku w:val="0"/>
              <w:spacing w:line="400" w:lineRule="exact"/>
              <w:jc w:val="center"/>
              <w:rPr>
                <w:color w:val="auto"/>
                <w:sz w:val="21"/>
                <w:szCs w:val="21"/>
                <w:highlight w:val="none"/>
              </w:rPr>
            </w:pPr>
            <w:r>
              <w:rPr>
                <w:rFonts w:hint="eastAsia"/>
                <w:color w:val="auto"/>
                <w:sz w:val="21"/>
                <w:szCs w:val="21"/>
                <w:highlight w:val="none"/>
              </w:rPr>
              <w:t>特别说明</w:t>
            </w:r>
          </w:p>
        </w:tc>
        <w:tc>
          <w:tcPr>
            <w:tcW w:w="6729" w:type="dxa"/>
            <w:tcBorders>
              <w:top w:val="single" w:color="000000" w:sz="4" w:space="0"/>
              <w:left w:val="nil"/>
              <w:bottom w:val="single" w:color="000000" w:sz="4" w:space="0"/>
              <w:right w:val="single" w:color="000000" w:sz="4" w:space="0"/>
            </w:tcBorders>
            <w:vAlign w:val="center"/>
          </w:tcPr>
          <w:p>
            <w:pPr>
              <w:spacing w:line="400" w:lineRule="exact"/>
              <w:rPr>
                <w:rFonts w:ascii="宋体" w:hAnsi="宋体"/>
                <w:color w:val="auto"/>
                <w:sz w:val="21"/>
                <w:szCs w:val="21"/>
                <w:highlight w:val="none"/>
              </w:rPr>
            </w:pPr>
            <w:r>
              <w:rPr>
                <w:rFonts w:hint="eastAsia" w:ascii="宋体" w:hAnsi="宋体"/>
                <w:color w:val="auto"/>
                <w:sz w:val="21"/>
                <w:szCs w:val="21"/>
                <w:highlight w:val="none"/>
              </w:rPr>
              <w:t>1.本前附表是投标人须知正文内容的补充和细化，应当与正文内容一致。如本前附表与正文内容表述不一，以本前附表为准。</w:t>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2.</w:t>
            </w:r>
            <w:r>
              <w:rPr>
                <w:rFonts w:hint="eastAsia" w:ascii="Wingdings 2" w:hAnsi="Wingdings 2"/>
                <w:color w:val="auto"/>
                <w:sz w:val="21"/>
                <w:szCs w:val="21"/>
                <w:highlight w:val="none"/>
              </w:rPr>
              <w:t>☑</w:t>
            </w:r>
            <w:r>
              <w:rPr>
                <w:rFonts w:hint="eastAsia" w:ascii="宋体" w:hAnsi="宋体"/>
                <w:color w:val="auto"/>
                <w:sz w:val="21"/>
                <w:szCs w:val="21"/>
                <w:highlight w:val="none"/>
              </w:rPr>
              <w:t>监测设施经费保障要求：</w:t>
            </w:r>
            <w:r>
              <w:rPr>
                <w:rFonts w:hint="eastAsia" w:ascii="宋体" w:hAnsi="宋体"/>
                <w:b/>
                <w:bCs/>
                <w:color w:val="auto"/>
                <w:sz w:val="21"/>
                <w:szCs w:val="21"/>
                <w:highlight w:val="none"/>
                <w:u w:val="single"/>
              </w:rPr>
              <w:t>本工程处于安装监测设施工程范围，投标人扬尘控制及在线监测设施安装、运行费用应充分考虑并列入报价，在合同签订前应向招标人提供对应的实施方案</w:t>
            </w:r>
            <w:r>
              <w:rPr>
                <w:rFonts w:hint="eastAsia" w:ascii="宋体" w:hAnsi="宋体"/>
                <w:color w:val="auto"/>
                <w:sz w:val="21"/>
                <w:szCs w:val="21"/>
                <w:highlight w:val="none"/>
              </w:rPr>
              <w:t>。</w:t>
            </w:r>
          </w:p>
          <w:p>
            <w:pPr>
              <w:spacing w:line="400" w:lineRule="exact"/>
              <w:rPr>
                <w:rFonts w:ascii="宋体" w:hAnsi="宋体"/>
                <w:color w:val="auto"/>
                <w:sz w:val="21"/>
                <w:szCs w:val="21"/>
                <w:highlight w:val="none"/>
                <w:u w:val="single"/>
              </w:rPr>
            </w:pPr>
            <w:r>
              <w:rPr>
                <w:rFonts w:hint="eastAsia" w:ascii="宋体" w:hAnsi="宋体"/>
                <w:color w:val="auto"/>
                <w:sz w:val="21"/>
                <w:szCs w:val="21"/>
                <w:highlight w:val="none"/>
              </w:rPr>
              <w:t>3.建筑工人实名制管理和经费保障要求：</w:t>
            </w:r>
            <w:r>
              <w:rPr>
                <w:rFonts w:hint="eastAsia" w:ascii="宋体" w:hAnsi="宋体"/>
                <w:color w:val="auto"/>
                <w:sz w:val="21"/>
                <w:szCs w:val="21"/>
                <w:highlight w:val="none"/>
                <w:u w:val="single"/>
              </w:rPr>
              <w:t xml:space="preserve"> </w:t>
            </w:r>
            <w:r>
              <w:rPr>
                <w:rFonts w:hint="eastAsia" w:ascii="宋体" w:hAnsi="宋体" w:cs="宋体"/>
                <w:b/>
                <w:color w:val="auto"/>
                <w:sz w:val="21"/>
                <w:szCs w:val="21"/>
                <w:highlight w:val="none"/>
                <w:u w:val="single"/>
              </w:rPr>
              <w:t>根据市住建局绍市建设[2020]134号文件精神，实行工程款和工资款两条线拨付制度。在工程承包合同中必须明确工程款和工资款两条线拨付，建设单位不管以何种方式支付工程款，必须按月进度工程款的20％作为工资款打入该项目的农民工工资专用账户，此账户专项用于支付农民工工资，不得挪作他用</w:t>
            </w:r>
            <w:r>
              <w:rPr>
                <w:rFonts w:hint="eastAsia" w:ascii="宋体" w:hAnsi="宋体"/>
                <w:b/>
                <w:color w:val="auto"/>
                <w:sz w:val="21"/>
                <w:szCs w:val="21"/>
                <w:highlight w:val="none"/>
                <w:u w:val="single"/>
              </w:rPr>
              <w:t>。</w:t>
            </w:r>
          </w:p>
          <w:p>
            <w:pPr>
              <w:spacing w:line="400" w:lineRule="exact"/>
              <w:rPr>
                <w:rFonts w:ascii="宋体" w:hAnsi="宋体"/>
                <w:color w:val="auto"/>
                <w:sz w:val="21"/>
                <w:szCs w:val="21"/>
                <w:highlight w:val="none"/>
                <w:u w:val="single"/>
              </w:rPr>
            </w:pPr>
            <w:r>
              <w:rPr>
                <w:rFonts w:hint="eastAsia" w:ascii="宋体" w:hAnsi="宋体"/>
                <w:color w:val="auto"/>
                <w:sz w:val="21"/>
                <w:szCs w:val="21"/>
                <w:highlight w:val="none"/>
              </w:rPr>
              <w:t>4.价款结算方式：</w:t>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☑竣工后一次性结算</w:t>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□施工过程分段结算：□房建工程分段节点</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（如可按桩基工程、地下室工程、地上主体结构工程和装饰装修工程划分，或分专业、分单项等）；□市政工程分段节点按划分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节点划分:如道路工程、给排水燃气工程、隧道工程、河道护岸工程、综合管廊工程等市政工程可按施工段合理划分过程结算周期节点；水处理构筑物工程和生活垃圾处理工程可参照建筑工程划分过程结算周期节点；桥梁工程可按下部结构、上部结构、附属工程划分过程结算周期节点。）。</w:t>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5.农民工工资保证金：</w:t>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（1）投标人应在投标前仔细核查本企业农民工工资保证金缴纳情况，应按当地有关农民工工资保证金管理制度执行。</w:t>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（2）农民工工资支付按照当地相关文件执行，具体在合同专用条款中明确。</w:t>
            </w:r>
          </w:p>
          <w:p>
            <w:pPr>
              <w:spacing w:line="400" w:lineRule="exact"/>
              <w:rPr>
                <w:color w:val="auto"/>
                <w:sz w:val="21"/>
                <w:szCs w:val="21"/>
                <w:highlight w:val="none"/>
                <w:u w:val="single"/>
              </w:rPr>
            </w:pPr>
            <w:r>
              <w:rPr>
                <w:color w:val="auto"/>
                <w:sz w:val="21"/>
                <w:szCs w:val="21"/>
                <w:highlight w:val="none"/>
              </w:rPr>
              <w:t>6.</w:t>
            </w:r>
            <w:r>
              <w:rPr>
                <w:rFonts w:ascii="Wingdings 2" w:hAnsi="Wingdings 2"/>
                <w:color w:val="auto"/>
                <w:sz w:val="21"/>
                <w:szCs w:val="21"/>
                <w:highlight w:val="none"/>
              </w:rPr>
              <w:t></w:t>
            </w:r>
            <w:r>
              <w:rPr>
                <w:rFonts w:hint="eastAsia" w:ascii="Wingdings 2" w:hAnsi="Wingdings 2"/>
                <w:color w:val="auto"/>
                <w:sz w:val="21"/>
                <w:szCs w:val="21"/>
                <w:highlight w:val="none"/>
              </w:rPr>
              <w:t>☑</w:t>
            </w:r>
            <w:r>
              <w:rPr>
                <w:rFonts w:hint="eastAsia"/>
                <w:color w:val="auto"/>
                <w:sz w:val="21"/>
                <w:szCs w:val="21"/>
                <w:highlight w:val="none"/>
              </w:rPr>
              <w:t>实施BIM</w:t>
            </w:r>
            <w:r>
              <w:rPr>
                <w:rFonts w:hint="eastAsia" w:ascii="宋体" w:hAnsi="宋体"/>
                <w:color w:val="auto"/>
                <w:sz w:val="21"/>
                <w:szCs w:val="21"/>
                <w:highlight w:val="none"/>
              </w:rPr>
              <w:t>的内容：</w:t>
            </w:r>
            <w:r>
              <w:rPr>
                <w:rFonts w:hint="eastAsia"/>
                <w:color w:val="auto"/>
                <w:sz w:val="21"/>
                <w:szCs w:val="21"/>
                <w:highlight w:val="none"/>
                <w:u w:val="single"/>
              </w:rPr>
              <w:t xml:space="preserve">  BIM组织架构及软硬件配置   </w:t>
            </w:r>
            <w:r>
              <w:rPr>
                <w:rFonts w:hint="eastAsia"/>
                <w:color w:val="auto"/>
                <w:sz w:val="21"/>
                <w:szCs w:val="21"/>
                <w:highlight w:val="none"/>
              </w:rPr>
              <w:t>。</w:t>
            </w:r>
          </w:p>
          <w:p>
            <w:pPr>
              <w:spacing w:line="400" w:lineRule="exact"/>
              <w:rPr>
                <w:color w:val="auto"/>
                <w:sz w:val="21"/>
                <w:szCs w:val="21"/>
                <w:highlight w:val="none"/>
              </w:rPr>
            </w:pPr>
            <w:r>
              <w:rPr>
                <w:color w:val="auto"/>
                <w:sz w:val="21"/>
                <w:szCs w:val="21"/>
                <w:highlight w:val="none"/>
              </w:rPr>
              <w:t>7.</w:t>
            </w:r>
            <w:r>
              <w:rPr>
                <w:rFonts w:ascii="Wingdings 2" w:hAnsi="Wingdings 2"/>
                <w:color w:val="auto"/>
                <w:sz w:val="21"/>
                <w:szCs w:val="21"/>
                <w:highlight w:val="none"/>
              </w:rPr>
              <w:t></w:t>
            </w:r>
            <w:r>
              <w:rPr>
                <w:rFonts w:hint="eastAsia" w:ascii="宋体" w:hAnsi="宋体"/>
                <w:color w:val="auto"/>
                <w:sz w:val="21"/>
                <w:szCs w:val="21"/>
                <w:highlight w:val="none"/>
              </w:rPr>
              <w:t>☑</w:t>
            </w:r>
            <w:r>
              <w:rPr>
                <w:rFonts w:hint="eastAsia"/>
                <w:color w:val="auto"/>
                <w:sz w:val="21"/>
                <w:szCs w:val="21"/>
                <w:highlight w:val="none"/>
              </w:rPr>
              <w:t>投标人存在撤销投标文件和无正当理由放弃中标、不与招标人签订书面合同等情形或被行政部门查实存在违法行为，招标人重新招标的，招标人可以拒绝投标人再次投标该项目。</w:t>
            </w:r>
          </w:p>
          <w:p>
            <w:pPr>
              <w:pStyle w:val="22"/>
              <w:snapToGrid w:val="0"/>
              <w:spacing w:line="400" w:lineRule="exact"/>
              <w:rPr>
                <w:rFonts w:ascii="宋体" w:hAnsi="宋体"/>
                <w:color w:val="auto"/>
                <w:sz w:val="21"/>
                <w:szCs w:val="21"/>
                <w:highlight w:val="none"/>
              </w:rPr>
            </w:pPr>
            <w:r>
              <w:rPr>
                <w:color w:val="auto"/>
                <w:sz w:val="21"/>
                <w:szCs w:val="21"/>
                <w:highlight w:val="none"/>
              </w:rPr>
              <w:t>8.</w:t>
            </w:r>
            <w:r>
              <w:rPr>
                <w:rFonts w:hint="eastAsia" w:ascii="宋体" w:hAnsi="宋体"/>
                <w:color w:val="auto"/>
                <w:sz w:val="21"/>
                <w:szCs w:val="21"/>
                <w:highlight w:val="none"/>
              </w:rPr>
              <w:t>本招标文件项目负责人一般情况下是指项目经理。</w:t>
            </w:r>
          </w:p>
          <w:p>
            <w:pPr>
              <w:pStyle w:val="22"/>
              <w:snapToGrid w:val="0"/>
              <w:spacing w:line="400" w:lineRule="exact"/>
              <w:rPr>
                <w:rFonts w:ascii="宋体" w:hAnsi="宋体"/>
                <w:color w:val="auto"/>
                <w:sz w:val="21"/>
                <w:szCs w:val="21"/>
                <w:highlight w:val="none"/>
              </w:rPr>
            </w:pPr>
            <w:r>
              <w:rPr>
                <w:rFonts w:hint="eastAsia" w:ascii="宋体" w:hAnsi="宋体"/>
                <w:color w:val="auto"/>
                <w:sz w:val="21"/>
                <w:szCs w:val="21"/>
                <w:highlight w:val="none"/>
              </w:rPr>
              <w:t>9.中标单位如为未办理进浙备案的省外企业，须在获得中标通知书后签订施工合同前办理进浙备案相关手续。</w:t>
            </w:r>
          </w:p>
          <w:p>
            <w:pPr>
              <w:spacing w:line="400" w:lineRule="exact"/>
              <w:rPr>
                <w:color w:val="auto"/>
                <w:sz w:val="21"/>
                <w:szCs w:val="21"/>
                <w:highlight w:val="none"/>
              </w:rPr>
            </w:pPr>
            <w:r>
              <w:rPr>
                <w:rFonts w:hint="eastAsia"/>
                <w:color w:val="auto"/>
                <w:sz w:val="21"/>
                <w:szCs w:val="21"/>
                <w:highlight w:val="none"/>
              </w:rPr>
              <w:t>10</w:t>
            </w:r>
            <w:r>
              <w:rPr>
                <w:color w:val="auto"/>
                <w:sz w:val="21"/>
                <w:szCs w:val="21"/>
                <w:highlight w:val="none"/>
              </w:rPr>
              <w:t>.</w:t>
            </w:r>
            <w:r>
              <w:rPr>
                <w:rFonts w:hint="eastAsia"/>
                <w:color w:val="auto"/>
                <w:sz w:val="21"/>
                <w:szCs w:val="21"/>
                <w:highlight w:val="none"/>
              </w:rPr>
              <w:t>其他：</w:t>
            </w:r>
            <w:r>
              <w:rPr>
                <w:rFonts w:hint="eastAsia"/>
                <w:color w:val="auto"/>
                <w:sz w:val="21"/>
                <w:szCs w:val="21"/>
                <w:highlight w:val="none"/>
                <w:u w:val="single"/>
              </w:rPr>
              <w:t xml:space="preserve"> </w:t>
            </w:r>
            <w:r>
              <w:rPr>
                <w:rFonts w:hint="eastAsia" w:ascii="宋体" w:hAnsi="宋体" w:eastAsia="宋体" w:cs="Times New Roman"/>
                <w:color w:val="auto"/>
                <w:sz w:val="21"/>
                <w:szCs w:val="21"/>
                <w:highlight w:val="none"/>
                <w:u w:val="single"/>
                <w:lang w:val="en-US" w:eastAsia="zh-CN" w:bidi="ar-SA"/>
              </w:rPr>
              <w:t>投标人应在投标前自行做好“浙江省建筑市场监管公共服务系统”相关信息的维护工作，并对企业资质、人员资格、项目状况、信用评价等信息的真实性、准确性、完整性负责</w:t>
            </w:r>
            <w:r>
              <w:rPr>
                <w:rFonts w:hint="eastAsia"/>
                <w:color w:val="auto"/>
                <w:sz w:val="21"/>
                <w:szCs w:val="21"/>
                <w:highlight w:val="none"/>
                <w:u w:val="single"/>
              </w:rPr>
              <w:t>。</w:t>
            </w:r>
          </w:p>
        </w:tc>
      </w:tr>
      <w:tr>
        <w:tblPrEx>
          <w:tblCellMar>
            <w:top w:w="0" w:type="dxa"/>
            <w:left w:w="57" w:type="dxa"/>
            <w:bottom w:w="0" w:type="dxa"/>
            <w:right w:w="57" w:type="dxa"/>
          </w:tblCellMar>
        </w:tblPrEx>
        <w:trPr>
          <w:trHeight w:val="23"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6"/>
              <w:kinsoku w:val="0"/>
              <w:spacing w:line="40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10.7</w:t>
            </w:r>
          </w:p>
        </w:tc>
        <w:tc>
          <w:tcPr>
            <w:tcW w:w="1826" w:type="dxa"/>
            <w:tcBorders>
              <w:top w:val="single" w:color="000000" w:sz="4" w:space="0"/>
              <w:left w:val="nil"/>
              <w:bottom w:val="single" w:color="000000" w:sz="4" w:space="0"/>
              <w:right w:val="single" w:color="000000" w:sz="4" w:space="0"/>
            </w:tcBorders>
            <w:vAlign w:val="center"/>
          </w:tcPr>
          <w:p>
            <w:pPr>
              <w:pStyle w:val="26"/>
              <w:keepNext w:val="0"/>
              <w:keepLines w:val="0"/>
              <w:pageBreakBefore w:val="0"/>
              <w:widowControl w:val="0"/>
              <w:kinsoku w:val="0"/>
              <w:wordWrap/>
              <w:overflowPunct/>
              <w:topLinePunct w:val="0"/>
              <w:autoSpaceDE w:val="0"/>
              <w:autoSpaceDN w:val="0"/>
              <w:bidi w:val="0"/>
              <w:snapToGrid/>
              <w:spacing w:line="400" w:lineRule="exact"/>
              <w:jc w:val="center"/>
              <w:textAlignment w:val="auto"/>
              <w:rPr>
                <w:rFonts w:hint="eastAsia"/>
                <w:color w:val="auto"/>
                <w:sz w:val="21"/>
                <w:szCs w:val="21"/>
                <w:highlight w:val="none"/>
              </w:rPr>
            </w:pPr>
            <w:r>
              <w:rPr>
                <w:rFonts w:hint="eastAsia" w:ascii="宋体" w:hAnsi="宋体" w:cs="宋体"/>
                <w:color w:val="auto"/>
                <w:sz w:val="21"/>
                <w:szCs w:val="21"/>
                <w:highlight w:val="none"/>
              </w:rPr>
              <w:t>定标前核查</w:t>
            </w:r>
          </w:p>
        </w:tc>
        <w:tc>
          <w:tcPr>
            <w:tcW w:w="6729"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val="0"/>
              <w:wordWrap/>
              <w:overflowPunct/>
              <w:topLinePunct w:val="0"/>
              <w:autoSpaceDE w:val="0"/>
              <w:autoSpaceDN w:val="0"/>
              <w:bidi w:val="0"/>
              <w:snapToGrid/>
              <w:spacing w:line="40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招标人定标前，将组织</w:t>
            </w:r>
            <w:r>
              <w:rPr>
                <w:rFonts w:hint="eastAsia" w:ascii="宋体" w:hAnsi="宋体" w:eastAsia="宋体" w:cs="宋体"/>
                <w:color w:val="auto"/>
                <w:sz w:val="21"/>
                <w:szCs w:val="21"/>
                <w:highlight w:val="none"/>
                <w:lang w:eastAsia="zh-CN"/>
              </w:rPr>
              <w:t>：</w:t>
            </w:r>
          </w:p>
          <w:p>
            <w:pPr>
              <w:pStyle w:val="22"/>
              <w:keepNext w:val="0"/>
              <w:keepLines w:val="0"/>
              <w:pageBreakBefore w:val="0"/>
              <w:widowControl w:val="0"/>
              <w:wordWrap/>
              <w:overflowPunct/>
              <w:topLinePunct w:val="0"/>
              <w:autoSpaceDE w:val="0"/>
              <w:autoSpaceDN w:val="0"/>
              <w:bidi w:val="0"/>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（1）核验《安全生产许可证》和有效的安全生产考核合格证书；“浙江省建筑市场监管公共服务系统”上最新资质动态核查结果处于“合格”状态。</w:t>
            </w:r>
          </w:p>
          <w:p>
            <w:pPr>
              <w:pStyle w:val="22"/>
              <w:keepNext w:val="0"/>
              <w:keepLines w:val="0"/>
              <w:pageBreakBefore w:val="0"/>
              <w:widowControl w:val="0"/>
              <w:wordWrap/>
              <w:overflowPunct/>
              <w:topLinePunct w:val="0"/>
              <w:autoSpaceDE w:val="0"/>
              <w:autoSpaceDN w:val="0"/>
              <w:bidi w:val="0"/>
              <w:snapToGrid/>
              <w:spacing w:line="400" w:lineRule="exact"/>
              <w:textAlignment w:val="auto"/>
              <w:rPr>
                <w:rFonts w:hint="eastAsia"/>
                <w:color w:val="auto"/>
                <w:sz w:val="21"/>
                <w:szCs w:val="21"/>
                <w:highlight w:val="none"/>
              </w:rPr>
            </w:pPr>
            <w:r>
              <w:rPr>
                <w:rFonts w:hint="eastAsia" w:ascii="宋体" w:hAnsi="宋体" w:eastAsia="宋体" w:cs="宋体"/>
                <w:color w:val="auto"/>
                <w:sz w:val="21"/>
                <w:szCs w:val="21"/>
                <w:highlight w:val="none"/>
              </w:rPr>
              <w:t>（2）查询拟中标人及拟派项目负责人等是否符合招标公告“（三）其他”的要求。</w:t>
            </w:r>
          </w:p>
        </w:tc>
      </w:tr>
      <w:tr>
        <w:tblPrEx>
          <w:tblCellMar>
            <w:top w:w="0" w:type="dxa"/>
            <w:left w:w="57" w:type="dxa"/>
            <w:bottom w:w="0" w:type="dxa"/>
            <w:right w:w="57" w:type="dxa"/>
          </w:tblCellMar>
        </w:tblPrEx>
        <w:trPr>
          <w:trHeight w:val="1214"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2"/>
              <w:snapToGrid w:val="0"/>
              <w:spacing w:line="360" w:lineRule="auto"/>
              <w:jc w:val="center"/>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rPr>
              <w:t>10.</w:t>
            </w:r>
            <w:r>
              <w:rPr>
                <w:rFonts w:hint="eastAsia" w:ascii="宋体" w:hAnsi="宋体"/>
                <w:b/>
                <w:bCs/>
                <w:color w:val="auto"/>
                <w:sz w:val="21"/>
                <w:szCs w:val="21"/>
                <w:highlight w:val="none"/>
                <w:lang w:val="en-US" w:eastAsia="zh-CN"/>
              </w:rPr>
              <w:t>8</w:t>
            </w:r>
          </w:p>
        </w:tc>
        <w:tc>
          <w:tcPr>
            <w:tcW w:w="8555" w:type="dxa"/>
            <w:gridSpan w:val="2"/>
            <w:tcBorders>
              <w:top w:val="single" w:color="000000" w:sz="4" w:space="0"/>
              <w:left w:val="nil"/>
              <w:bottom w:val="single" w:color="000000" w:sz="4" w:space="0"/>
              <w:right w:val="single" w:color="000000" w:sz="4" w:space="0"/>
            </w:tcBorders>
            <w:vAlign w:val="center"/>
          </w:tcPr>
          <w:p>
            <w:pPr>
              <w:pStyle w:val="22"/>
              <w:snapToGrid w:val="0"/>
              <w:spacing w:line="300" w:lineRule="auto"/>
              <w:ind w:firstLine="422" w:firstLineChars="200"/>
              <w:jc w:val="both"/>
              <w:rPr>
                <w:rFonts w:ascii="宋体" w:hAnsi="宋体"/>
                <w:b/>
                <w:bCs/>
                <w:color w:val="auto"/>
                <w:sz w:val="21"/>
                <w:szCs w:val="21"/>
                <w:highlight w:val="none"/>
              </w:rPr>
            </w:pPr>
            <w:r>
              <w:rPr>
                <w:rFonts w:hint="eastAsia" w:ascii="宋体" w:hAnsi="宋体" w:cs="宋体"/>
                <w:b/>
                <w:bCs/>
                <w:color w:val="auto"/>
                <w:sz w:val="21"/>
                <w:szCs w:val="21"/>
                <w:highlight w:val="none"/>
                <w:u w:val="single"/>
              </w:rPr>
              <w:t>投标格式文件中要求“法定代表人或其授权人”、“法定代表人或委托代理人”签字或盖章的，电子投标文件应使用CA数字证书加盖法定代表人个人电子印章；投标格式文件中要求投标人单位盖章的，电子投标文件应使用CA数字证书加盖投标人单位电子印章</w:t>
            </w:r>
            <w:r>
              <w:rPr>
                <w:rFonts w:hint="eastAsia" w:ascii="宋体" w:hAnsi="宋体" w:cs="宋体"/>
                <w:b/>
                <w:bCs/>
                <w:color w:val="auto"/>
                <w:sz w:val="21"/>
                <w:szCs w:val="21"/>
                <w:highlight w:val="none"/>
              </w:rPr>
              <w:t>。</w:t>
            </w:r>
          </w:p>
        </w:tc>
      </w:tr>
      <w:tr>
        <w:tblPrEx>
          <w:tblCellMar>
            <w:top w:w="0" w:type="dxa"/>
            <w:left w:w="57" w:type="dxa"/>
            <w:bottom w:w="0" w:type="dxa"/>
            <w:right w:w="57" w:type="dxa"/>
          </w:tblCellMar>
        </w:tblPrEx>
        <w:trPr>
          <w:trHeight w:val="879"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2"/>
              <w:snapToGrid w:val="0"/>
              <w:spacing w:line="360" w:lineRule="auto"/>
              <w:jc w:val="center"/>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rPr>
              <w:t>10.</w:t>
            </w:r>
            <w:r>
              <w:rPr>
                <w:rFonts w:hint="eastAsia" w:ascii="宋体" w:hAnsi="宋体"/>
                <w:b/>
                <w:bCs/>
                <w:color w:val="auto"/>
                <w:sz w:val="21"/>
                <w:szCs w:val="21"/>
                <w:highlight w:val="none"/>
                <w:lang w:val="en-US" w:eastAsia="zh-CN"/>
              </w:rPr>
              <w:t>9</w:t>
            </w:r>
          </w:p>
        </w:tc>
        <w:tc>
          <w:tcPr>
            <w:tcW w:w="8555" w:type="dxa"/>
            <w:gridSpan w:val="2"/>
            <w:tcBorders>
              <w:top w:val="single" w:color="000000" w:sz="4" w:space="0"/>
              <w:left w:val="nil"/>
              <w:bottom w:val="single" w:color="000000" w:sz="4" w:space="0"/>
              <w:right w:val="single" w:color="000000" w:sz="4" w:space="0"/>
            </w:tcBorders>
            <w:vAlign w:val="center"/>
          </w:tcPr>
          <w:p>
            <w:pPr>
              <w:pStyle w:val="22"/>
              <w:snapToGrid w:val="0"/>
              <w:spacing w:line="300" w:lineRule="auto"/>
              <w:ind w:firstLine="422" w:firstLineChars="200"/>
              <w:jc w:val="both"/>
              <w:rPr>
                <w:rFonts w:ascii="宋体" w:hAnsi="宋体" w:cs="宋体"/>
                <w:b/>
                <w:bCs/>
                <w:color w:val="auto"/>
                <w:sz w:val="21"/>
                <w:szCs w:val="21"/>
                <w:highlight w:val="none"/>
                <w:u w:val="single"/>
              </w:rPr>
            </w:pPr>
            <w:r>
              <w:rPr>
                <w:rFonts w:hint="eastAsia" w:ascii="宋体" w:hAnsi="宋体" w:cs="宋体"/>
                <w:b/>
                <w:bCs/>
                <w:color w:val="auto"/>
                <w:sz w:val="21"/>
                <w:szCs w:val="21"/>
                <w:highlight w:val="none"/>
                <w:u w:val="single"/>
              </w:rPr>
              <w:t>因造价软件不同，投标人在导入招标人提供的工程量清单及价格后可能会发生差错，投标人应以招标人提供的工程量清单等为准，投标人应予以核对，并自主报价。</w:t>
            </w:r>
          </w:p>
        </w:tc>
      </w:tr>
      <w:tr>
        <w:tblPrEx>
          <w:tblCellMar>
            <w:top w:w="0" w:type="dxa"/>
            <w:left w:w="57" w:type="dxa"/>
            <w:bottom w:w="0" w:type="dxa"/>
            <w:right w:w="57" w:type="dxa"/>
          </w:tblCellMar>
        </w:tblPrEx>
        <w:trPr>
          <w:trHeight w:val="457" w:hRule="atLeast"/>
        </w:trPr>
        <w:tc>
          <w:tcPr>
            <w:tcW w:w="1173" w:type="dxa"/>
            <w:tcBorders>
              <w:top w:val="single" w:color="000000" w:sz="4" w:space="0"/>
              <w:left w:val="single" w:color="000000" w:sz="4" w:space="0"/>
              <w:bottom w:val="single" w:color="000000" w:sz="4" w:space="0"/>
              <w:right w:val="single" w:color="000000" w:sz="4" w:space="0"/>
            </w:tcBorders>
            <w:vAlign w:val="center"/>
          </w:tcPr>
          <w:p>
            <w:pPr>
              <w:pStyle w:val="22"/>
              <w:snapToGrid w:val="0"/>
              <w:spacing w:line="360" w:lineRule="auto"/>
              <w:jc w:val="center"/>
              <w:rPr>
                <w:rFonts w:hint="default" w:ascii="宋体" w:hAnsi="宋体" w:eastAsia="宋体"/>
                <w:b/>
                <w:bCs/>
                <w:color w:val="auto"/>
                <w:sz w:val="21"/>
                <w:szCs w:val="21"/>
                <w:highlight w:val="none"/>
                <w:lang w:val="en-US" w:eastAsia="zh-CN"/>
              </w:rPr>
            </w:pPr>
            <w:r>
              <w:rPr>
                <w:rFonts w:hint="eastAsia" w:ascii="宋体" w:hAnsi="宋体"/>
                <w:b/>
                <w:bCs/>
                <w:color w:val="auto"/>
                <w:sz w:val="21"/>
                <w:szCs w:val="21"/>
                <w:highlight w:val="none"/>
              </w:rPr>
              <w:t>10.</w:t>
            </w:r>
            <w:r>
              <w:rPr>
                <w:rFonts w:hint="eastAsia" w:ascii="宋体" w:hAnsi="宋体"/>
                <w:b/>
                <w:bCs/>
                <w:color w:val="auto"/>
                <w:sz w:val="21"/>
                <w:szCs w:val="21"/>
                <w:highlight w:val="none"/>
                <w:lang w:val="en-US" w:eastAsia="zh-CN"/>
              </w:rPr>
              <w:t>10</w:t>
            </w:r>
          </w:p>
        </w:tc>
        <w:tc>
          <w:tcPr>
            <w:tcW w:w="8555" w:type="dxa"/>
            <w:gridSpan w:val="2"/>
            <w:tcBorders>
              <w:top w:val="single" w:color="000000" w:sz="4" w:space="0"/>
              <w:left w:val="nil"/>
              <w:bottom w:val="single" w:color="000000" w:sz="4" w:space="0"/>
              <w:right w:val="single" w:color="000000" w:sz="4" w:space="0"/>
            </w:tcBorders>
            <w:vAlign w:val="center"/>
          </w:tcPr>
          <w:p>
            <w:pPr>
              <w:pStyle w:val="26"/>
              <w:keepNext w:val="0"/>
              <w:keepLines w:val="0"/>
              <w:pageBreakBefore w:val="0"/>
              <w:widowControl w:val="0"/>
              <w:wordWrap/>
              <w:overflowPunct/>
              <w:topLinePunct w:val="0"/>
              <w:autoSpaceDE w:val="0"/>
              <w:autoSpaceDN w:val="0"/>
              <w:bidi w:val="0"/>
              <w:adjustRightInd/>
              <w:snapToGrid/>
              <w:spacing w:line="390" w:lineRule="exact"/>
              <w:ind w:right="34" w:rightChars="14"/>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本项目招标采用</w:t>
            </w:r>
            <w:r>
              <w:rPr>
                <w:rFonts w:hint="eastAsia" w:ascii="宋体" w:hAnsi="宋体" w:cs="宋体"/>
                <w:b/>
                <w:bCs/>
                <w:color w:val="auto"/>
                <w:sz w:val="21"/>
                <w:szCs w:val="21"/>
                <w:highlight w:val="none"/>
              </w:rPr>
              <w:t>评定分离</w:t>
            </w:r>
            <w:r>
              <w:rPr>
                <w:rFonts w:hint="eastAsia" w:ascii="宋体" w:hAnsi="宋体" w:cs="宋体"/>
                <w:color w:val="auto"/>
                <w:sz w:val="21"/>
                <w:szCs w:val="21"/>
                <w:highlight w:val="none"/>
              </w:rPr>
              <w:t>方式：</w:t>
            </w:r>
          </w:p>
          <w:p>
            <w:pPr>
              <w:pStyle w:val="26"/>
              <w:keepNext w:val="0"/>
              <w:keepLines w:val="0"/>
              <w:pageBreakBefore w:val="0"/>
              <w:widowControl w:val="0"/>
              <w:wordWrap/>
              <w:overflowPunct/>
              <w:topLinePunct w:val="0"/>
              <w:autoSpaceDE w:val="0"/>
              <w:autoSpaceDN w:val="0"/>
              <w:bidi w:val="0"/>
              <w:adjustRightInd/>
              <w:snapToGrid/>
              <w:spacing w:line="390" w:lineRule="exact"/>
              <w:ind w:right="34" w:rightChars="14" w:firstLine="420" w:firstLineChars="200"/>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将评标和定标分为两个环节。评标委员会根据招标文件规定的程序和方法开展独立评审；招标人拥有定标决策权，根据评标委员会的评审意见及招标文件规定的程序和方法，组建定标委员会确定中标人。</w:t>
            </w:r>
          </w:p>
          <w:p>
            <w:pPr>
              <w:keepNext w:val="0"/>
              <w:keepLines w:val="0"/>
              <w:pageBreakBefore w:val="0"/>
              <w:widowControl w:val="0"/>
              <w:wordWrap/>
              <w:overflowPunct/>
              <w:topLinePunct w:val="0"/>
              <w:autoSpaceDE w:val="0"/>
              <w:autoSpaceDN w:val="0"/>
              <w:bidi w:val="0"/>
              <w:snapToGrid/>
              <w:spacing w:line="390" w:lineRule="exact"/>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一、评标办法：</w:t>
            </w:r>
          </w:p>
          <w:p>
            <w:pPr>
              <w:pStyle w:val="26"/>
              <w:keepNext w:val="0"/>
              <w:keepLines w:val="0"/>
              <w:pageBreakBefore w:val="0"/>
              <w:widowControl w:val="0"/>
              <w:wordWrap/>
              <w:overflowPunct/>
              <w:topLinePunct w:val="0"/>
              <w:autoSpaceDE w:val="0"/>
              <w:autoSpaceDN w:val="0"/>
              <w:bidi w:val="0"/>
              <w:adjustRightInd/>
              <w:snapToGrid/>
              <w:spacing w:line="390" w:lineRule="exact"/>
              <w:ind w:right="34" w:rightChars="14" w:firstLine="420" w:firstLineChars="200"/>
              <w:jc w:val="both"/>
              <w:textAlignment w:val="auto"/>
              <w:rPr>
                <w:rFonts w:hint="eastAsia" w:ascii="宋体" w:hAnsi="宋体" w:cs="宋体"/>
                <w:color w:val="auto"/>
                <w:sz w:val="21"/>
                <w:szCs w:val="21"/>
                <w:highlight w:val="none"/>
              </w:rPr>
            </w:pPr>
            <w:r>
              <w:rPr>
                <w:rFonts w:hint="eastAsia" w:ascii="宋体" w:hAnsi="宋体" w:cs="宋体"/>
                <w:bCs/>
                <w:color w:val="auto"/>
                <w:sz w:val="21"/>
                <w:szCs w:val="21"/>
                <w:highlight w:val="none"/>
              </w:rPr>
              <w:t>（1）</w:t>
            </w:r>
            <w:r>
              <w:rPr>
                <w:rFonts w:hint="eastAsia" w:ascii="宋体" w:hAnsi="宋体" w:cs="宋体"/>
                <w:color w:val="auto"/>
                <w:sz w:val="21"/>
                <w:szCs w:val="21"/>
                <w:highlight w:val="none"/>
              </w:rPr>
              <w:t>采用技术标打分制的综合评估法评审，当有效投标人数量3家及以上且不足8家时，由评标委员会推荐总得分前3名为中标候选人；当有效投标人数量为8家及以上且不足10家时，由评标委员会推荐总得分前4名为中标候选人；当有效投标人数量为10家及以上时，由评标委员会推荐总得分前5名为中标候选人。</w:t>
            </w:r>
            <w:r>
              <w:rPr>
                <w:rFonts w:hint="eastAsia" w:ascii="宋体" w:hAnsi="宋体" w:cs="宋体"/>
                <w:color w:val="auto"/>
                <w:sz w:val="21"/>
                <w:szCs w:val="21"/>
                <w:highlight w:val="none"/>
                <w:lang w:val="zh-CN"/>
              </w:rPr>
              <w:t>如总</w:t>
            </w:r>
            <w:r>
              <w:rPr>
                <w:rFonts w:hint="eastAsia" w:ascii="宋体" w:hAnsi="宋体" w:cs="宋体"/>
                <w:color w:val="auto"/>
                <w:sz w:val="21"/>
                <w:szCs w:val="21"/>
                <w:highlight w:val="none"/>
              </w:rPr>
              <w:t>得</w:t>
            </w:r>
            <w:r>
              <w:rPr>
                <w:rFonts w:hint="eastAsia" w:ascii="宋体" w:hAnsi="宋体" w:cs="宋体"/>
                <w:color w:val="auto"/>
                <w:sz w:val="21"/>
                <w:szCs w:val="21"/>
                <w:highlight w:val="none"/>
                <w:lang w:val="zh-CN"/>
              </w:rPr>
              <w:t>分相同的，以投标总报价低的优先，投标总报价仍相同的，以资信标</w:t>
            </w:r>
            <w:r>
              <w:rPr>
                <w:rFonts w:hint="eastAsia" w:ascii="宋体" w:hAnsi="宋体" w:cs="宋体"/>
                <w:color w:val="auto"/>
                <w:sz w:val="21"/>
                <w:szCs w:val="21"/>
                <w:highlight w:val="none"/>
              </w:rPr>
              <w:t>得分高</w:t>
            </w:r>
            <w:r>
              <w:rPr>
                <w:rFonts w:hint="eastAsia" w:ascii="宋体" w:hAnsi="宋体" w:cs="宋体"/>
                <w:color w:val="auto"/>
                <w:sz w:val="21"/>
                <w:szCs w:val="21"/>
                <w:highlight w:val="none"/>
                <w:lang w:val="zh-CN"/>
              </w:rPr>
              <w:t>的优先；资信标得分仍相同的,以技术标得分高的优先；</w:t>
            </w:r>
            <w:r>
              <w:rPr>
                <w:rFonts w:hint="eastAsia" w:ascii="宋体" w:hAnsi="宋体" w:cs="宋体"/>
                <w:color w:val="auto"/>
                <w:sz w:val="21"/>
                <w:szCs w:val="21"/>
                <w:highlight w:val="none"/>
              </w:rPr>
              <w:t>上述均相同的由招标人当场抽签确定。若入围的中标候选人公示期间收到质疑，有中标候选人存在影响中标结果的违法行为等情况的，一经查实取消其中标候选人的资格。在原中标候选人除外的投标人中，由评标委员会评定按总分从高到低进行排序，按推荐数量的要求，递补进入定标入围。</w:t>
            </w:r>
          </w:p>
          <w:p>
            <w:pPr>
              <w:keepNext w:val="0"/>
              <w:keepLines w:val="0"/>
              <w:pageBreakBefore w:val="0"/>
              <w:widowControl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（2）评标委员会</w:t>
            </w:r>
            <w:r>
              <w:rPr>
                <w:rFonts w:hint="eastAsia" w:ascii="宋体" w:hAnsi="宋体" w:cs="宋体"/>
                <w:color w:val="auto"/>
                <w:sz w:val="21"/>
                <w:szCs w:val="21"/>
                <w:highlight w:val="none"/>
                <w:lang w:val="en-US" w:eastAsia="zh-CN"/>
              </w:rPr>
              <w:t>向招标人</w:t>
            </w:r>
            <w:r>
              <w:rPr>
                <w:rFonts w:hint="eastAsia" w:ascii="宋体" w:hAnsi="宋体" w:cs="宋体"/>
                <w:color w:val="auto"/>
                <w:sz w:val="21"/>
                <w:szCs w:val="21"/>
                <w:highlight w:val="none"/>
              </w:rPr>
              <w:t>推荐中标候选人时不得标明排序，应对投标文件存在的明显优点或缺点予以记录。</w:t>
            </w:r>
          </w:p>
          <w:p>
            <w:pPr>
              <w:keepNext w:val="0"/>
              <w:keepLines w:val="0"/>
              <w:pageBreakBefore w:val="0"/>
              <w:widowControl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（3）评标委员会完成评标后，应当向招标人提交书面评标报告。</w:t>
            </w:r>
          </w:p>
          <w:p>
            <w:pPr>
              <w:pStyle w:val="26"/>
              <w:keepNext w:val="0"/>
              <w:keepLines w:val="0"/>
              <w:pageBreakBefore w:val="0"/>
              <w:widowControl w:val="0"/>
              <w:kinsoku w:val="0"/>
              <w:wordWrap/>
              <w:overflowPunct/>
              <w:topLinePunct w:val="0"/>
              <w:autoSpaceDE w:val="0"/>
              <w:autoSpaceDN w:val="0"/>
              <w:bidi w:val="0"/>
              <w:snapToGrid/>
              <w:spacing w:line="390" w:lineRule="exact"/>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二、定标方式：</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（1）定标原则：兼顾择优和竞争。招标人应综合考虑信用、履约、报价等因素，择优选择中标人。</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（2）招标人在评标委员会评审的基础上，根据本招标文件规定的程序和方法进行定标。由招标人的纪检监察部门对定标活动进行全过程监督。</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（3）招标人在定标会议召开前不对中标候选人进行考察和质询。</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（4）定标核查：招标人在定标会议前对中标候选人进行定标核查。核查内容包括信用信息、受贿行贿情况、履约能力等内容。</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5）定标由招标人组建的定标委员会负责，定标委员会成员人数为5人及以上单数。定标委员会成员由招标人代表、项目业主代表和项目使用单位代表组成。确有需要的，招标人可邀请外部专家担任定标委员会成员，但邀请的外部成员人数不得超过定标委员会成员总人数的二分之一。评标委员会成员原则上不再担任定标委员会成员。招标人的法定代表人或主要负责人或分管负责人应进入定标委员会，并担任组长，主持定标会议。招标人的法定代表人、主要负责人、分管负责人均进入定标委员会的，或其中两人进入定标委员会的，应从其中推选一人担任组长。定标委员会名单在中标结果确定前保密。定标委员会成员与中标候选人有利害关系的应主动说明并申请回避。</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2" w:firstLineChars="200"/>
              <w:textAlignment w:val="auto"/>
              <w:rPr>
                <w:rFonts w:hint="eastAsia" w:ascii="宋体" w:hAnsi="宋体" w:cs="宋体"/>
                <w:color w:val="auto"/>
                <w:sz w:val="21"/>
                <w:szCs w:val="21"/>
                <w:highlight w:val="none"/>
              </w:rPr>
            </w:pPr>
            <w:r>
              <w:rPr>
                <w:rFonts w:hint="eastAsia" w:ascii="宋体" w:hAnsi="宋体" w:cs="宋体"/>
                <w:b/>
                <w:bCs/>
                <w:color w:val="auto"/>
                <w:sz w:val="21"/>
                <w:szCs w:val="21"/>
                <w:highlight w:val="none"/>
              </w:rPr>
              <w:t>回避原则：</w:t>
            </w:r>
            <w:r>
              <w:rPr>
                <w:rFonts w:hint="eastAsia" w:ascii="宋体" w:hAnsi="宋体" w:cs="宋体"/>
                <w:color w:val="auto"/>
                <w:sz w:val="21"/>
                <w:szCs w:val="21"/>
                <w:highlight w:val="none"/>
              </w:rPr>
              <w:t>定标委员会成员与中标候选人有利害关系的，具有下列情形之一的，定标委员会应当主动提出回避：</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①是中标候选人的工作人员；</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②是中标候选人的上级主管、控股或被控股单位的工作人员；</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③是中标候选人的法定代表人或者负责人有夫妻、直系血亲、三代以内旁系血亲或者近姻亲关系；</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④是中标候选人聘用的顾问；</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⑤与中标候选人存在直接经济利益关系；</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⑥可能影响公正评审的其他情形，包括但不限于：</w:t>
            </w:r>
          </w:p>
          <w:p>
            <w:pPr>
              <w:pStyle w:val="26"/>
              <w:keepNext w:val="0"/>
              <w:keepLines w:val="0"/>
              <w:pageBreakBefore w:val="0"/>
              <w:widowControl w:val="0"/>
              <w:kinsoku w:val="0"/>
              <w:wordWrap/>
              <w:overflowPunct/>
              <w:topLinePunct w:val="0"/>
              <w:autoSpaceDE w:val="0"/>
              <w:autoSpaceDN w:val="0"/>
              <w:bidi w:val="0"/>
              <w:snapToGrid/>
              <w:spacing w:line="390" w:lineRule="exact"/>
              <w:ind w:firstLine="840" w:firstLineChars="4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a．参加评审前3年内与中标候选人存在劳动关系；</w:t>
            </w:r>
          </w:p>
          <w:p>
            <w:pPr>
              <w:pStyle w:val="26"/>
              <w:keepNext w:val="0"/>
              <w:keepLines w:val="0"/>
              <w:pageBreakBefore w:val="0"/>
              <w:widowControl w:val="0"/>
              <w:kinsoku w:val="0"/>
              <w:wordWrap/>
              <w:overflowPunct/>
              <w:topLinePunct w:val="0"/>
              <w:autoSpaceDE w:val="0"/>
              <w:autoSpaceDN w:val="0"/>
              <w:bidi w:val="0"/>
              <w:snapToGrid/>
              <w:spacing w:line="390" w:lineRule="exact"/>
              <w:ind w:firstLine="840" w:firstLineChars="4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b．参加评审前3年内担任中标候选人的董事、监事；</w:t>
            </w:r>
          </w:p>
          <w:p>
            <w:pPr>
              <w:pStyle w:val="26"/>
              <w:keepNext w:val="0"/>
              <w:keepLines w:val="0"/>
              <w:pageBreakBefore w:val="0"/>
              <w:widowControl w:val="0"/>
              <w:kinsoku w:val="0"/>
              <w:wordWrap/>
              <w:overflowPunct/>
              <w:topLinePunct w:val="0"/>
              <w:autoSpaceDE w:val="0"/>
              <w:autoSpaceDN w:val="0"/>
              <w:bidi w:val="0"/>
              <w:snapToGrid/>
              <w:spacing w:line="390" w:lineRule="exact"/>
              <w:ind w:firstLine="840" w:firstLineChars="4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c．参加评审前3年内是中标候选人的控股股东或者实际控制人；</w:t>
            </w:r>
          </w:p>
          <w:p>
            <w:pPr>
              <w:pStyle w:val="26"/>
              <w:keepNext w:val="0"/>
              <w:keepLines w:val="0"/>
              <w:pageBreakBefore w:val="0"/>
              <w:widowControl w:val="0"/>
              <w:kinsoku w:val="0"/>
              <w:wordWrap/>
              <w:overflowPunct/>
              <w:topLinePunct w:val="0"/>
              <w:autoSpaceDE w:val="0"/>
              <w:autoSpaceDN w:val="0"/>
              <w:bidi w:val="0"/>
              <w:snapToGrid/>
              <w:spacing w:line="390" w:lineRule="exact"/>
              <w:ind w:firstLine="840" w:firstLineChars="4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d．与中标候选人有其他利害关系的。</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（6）定标会议</w:t>
            </w:r>
            <w:r>
              <w:rPr>
                <w:rFonts w:hint="eastAsia" w:ascii="宋体" w:hAnsi="宋体" w:cs="宋体"/>
                <w:color w:val="auto"/>
                <w:sz w:val="21"/>
                <w:szCs w:val="21"/>
                <w:highlight w:val="none"/>
                <w:lang w:val="en-US" w:eastAsia="zh-CN"/>
              </w:rPr>
              <w:t>原则上</w:t>
            </w:r>
            <w:r>
              <w:rPr>
                <w:rFonts w:hint="eastAsia" w:ascii="宋体" w:hAnsi="宋体" w:cs="宋体"/>
                <w:color w:val="auto"/>
                <w:sz w:val="21"/>
                <w:szCs w:val="21"/>
                <w:highlight w:val="none"/>
              </w:rPr>
              <w:t>在评标结果公示结束后10日内在指定地点召开，招标项目负责人在定标会议开始时向定标委员会介绍项目情况、招标情况、评标情况等。</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定标委员会成员的提问在定标会议现场提出，由招标代理机构做好书面记录，交由项目负责人（或授权委托人）作出答复，答复双方在书面记录上签字。提问和答复不得改变招标文件、投标文件和评标的实质性内容。</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8）定标委员会应当根据定标要素综合考量，选定报价合理、综合实力强、信誉较好的中标候选人为中标人。定标要素：参考评标委员会评审意见、质询或考察报告（如有），由定标委员会根据价格因素、企业匹配性、企业信誉、投标方案、拟派团队能力与水平等因素综合考虑。</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（9）定标委员会成员应按照招标文件规定的投票规则独立行使投票权；不得弃权或产生废票，投票应采用记名方式并注明投票理由。</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（10）定标委员会应根据</w:t>
            </w:r>
            <w:r>
              <w:rPr>
                <w:rFonts w:hint="eastAsia" w:ascii="宋体" w:hAnsi="宋体" w:cs="宋体"/>
                <w:b/>
                <w:bCs/>
                <w:color w:val="auto"/>
                <w:sz w:val="21"/>
                <w:szCs w:val="21"/>
                <w:highlight w:val="none"/>
              </w:rPr>
              <w:t>直接票决法</w:t>
            </w:r>
            <w:r>
              <w:rPr>
                <w:rFonts w:hint="eastAsia" w:ascii="宋体" w:hAnsi="宋体" w:cs="宋体"/>
                <w:color w:val="auto"/>
                <w:sz w:val="21"/>
                <w:szCs w:val="21"/>
                <w:highlight w:val="none"/>
              </w:rPr>
              <w:t>，得票最多且过半数的中标候选人为中标人。当没有中标候选人得票超过半数时，选择得票较多的2个中标候选人（按上一轮得票多少的顺序选择，在选择第2个中标候选人时出现同票的中标候选人时，抽签抽取中标候选人纳入下一轮的投票范围）作为二次投票的范围，直至出现得票过半数的中标候选人为止。投票确定最终优胜方案，择优选定中标人。</w:t>
            </w:r>
          </w:p>
          <w:p>
            <w:pPr>
              <w:pStyle w:val="26"/>
              <w:keepNext w:val="0"/>
              <w:keepLines w:val="0"/>
              <w:pageBreakBefore w:val="0"/>
              <w:widowControl w:val="0"/>
              <w:kinsoku w:val="0"/>
              <w:wordWrap/>
              <w:overflowPunct/>
              <w:topLinePunct w:val="0"/>
              <w:autoSpaceDE w:val="0"/>
              <w:autoSpaceDN w:val="0"/>
              <w:bidi w:val="0"/>
              <w:snapToGrid/>
              <w:spacing w:line="39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11）定标结束后，定标委员会应当向招标人提交定标报告，定标报告应当由全体成员签字。招标人在绍兴市越城区人民政府网站公告中标结果情况，公告时间不少于3日。公告的中标人因放弃中标或者拒不签订合同、因不可抗力不能履行合同、不按招标文件要求提交履约保证金或被查实存在影响中标结果的违法行为等情况，不符合中标条件的，取消其中标人资格，招标人可以重新招标，也可以组织原定标委员会从其他中标候选人中按原定标方法重新确定中标人。</w:t>
            </w:r>
          </w:p>
          <w:p>
            <w:pPr>
              <w:pStyle w:val="26"/>
              <w:kinsoku w:val="0"/>
              <w:spacing w:line="360" w:lineRule="auto"/>
              <w:ind w:firstLine="420" w:firstLineChars="200"/>
              <w:rPr>
                <w:rFonts w:ascii="宋体" w:hAnsi="宋体" w:cs="宋体"/>
                <w:b/>
                <w:bCs/>
                <w:color w:val="auto"/>
                <w:sz w:val="21"/>
                <w:szCs w:val="21"/>
                <w:highlight w:val="none"/>
                <w:u w:val="single"/>
              </w:rPr>
            </w:pPr>
            <w:r>
              <w:rPr>
                <w:rFonts w:hint="eastAsia" w:ascii="宋体" w:hAnsi="宋体" w:cs="宋体"/>
                <w:color w:val="auto"/>
                <w:sz w:val="21"/>
                <w:szCs w:val="21"/>
                <w:highlight w:val="none"/>
              </w:rPr>
              <w:t>（12）定标后因定标委员会未按定标办法公正履职的、因定标委员会成员与中标候选人有利害关系且未申请回避的，招标人将重新定标</w:t>
            </w:r>
            <w:r>
              <w:rPr>
                <w:rFonts w:hint="eastAsia" w:ascii="宋体" w:hAnsi="宋体" w:eastAsia="宋体"/>
                <w:color w:val="auto"/>
                <w:sz w:val="21"/>
                <w:szCs w:val="21"/>
                <w:highlight w:val="none"/>
              </w:rPr>
              <w:t>。</w:t>
            </w:r>
          </w:p>
        </w:tc>
      </w:tr>
    </w:tbl>
    <w:p>
      <w:pPr>
        <w:widowControl/>
        <w:autoSpaceDE/>
        <w:autoSpaceDN/>
        <w:adjustRightInd/>
        <w:rPr>
          <w:rFonts w:ascii="黑体" w:hAnsi="黑体" w:eastAsia="黑体"/>
          <w:color w:val="auto"/>
          <w:sz w:val="21"/>
          <w:szCs w:val="21"/>
          <w:highlight w:val="none"/>
        </w:rPr>
        <w:sectPr>
          <w:footerReference r:id="rId3" w:type="default"/>
          <w:pgSz w:w="11907" w:h="16839"/>
          <w:pgMar w:top="1360" w:right="1100" w:bottom="1100" w:left="1580" w:header="0" w:footer="901" w:gutter="0"/>
          <w:cols w:space="720" w:num="1"/>
        </w:sectPr>
      </w:pPr>
    </w:p>
    <w:p>
      <w:pPr>
        <w:spacing w:line="360" w:lineRule="auto"/>
        <w:jc w:val="both"/>
        <w:rPr>
          <w:rFonts w:ascii="黑体" w:hAnsi="黑体" w:eastAsia="黑体"/>
          <w:color w:val="auto"/>
          <w:sz w:val="36"/>
          <w:szCs w:val="36"/>
          <w:highlight w:val="none"/>
        </w:rPr>
      </w:pPr>
      <w:bookmarkStart w:id="83" w:name="_Toc45697231"/>
      <w:bookmarkEnd w:id="83"/>
      <w:bookmarkStart w:id="84" w:name="_Toc723"/>
      <w:bookmarkEnd w:id="84"/>
      <w:bookmarkStart w:id="85" w:name="bookmark22"/>
      <w:bookmarkEnd w:id="85"/>
      <w:bookmarkStart w:id="86" w:name="_Toc22828068"/>
      <w:r>
        <w:rPr>
          <w:rFonts w:hint="eastAsia" w:ascii="黑体" w:hAnsi="黑体" w:eastAsia="黑体"/>
          <w:color w:val="auto"/>
          <w:sz w:val="36"/>
          <w:szCs w:val="36"/>
          <w:highlight w:val="none"/>
        </w:rPr>
        <w:t>投标人须知</w:t>
      </w:r>
      <w:bookmarkEnd w:id="86"/>
    </w:p>
    <w:p>
      <w:pPr>
        <w:spacing w:line="360" w:lineRule="auto"/>
        <w:rPr>
          <w:rFonts w:ascii="宋体" w:hAnsi="宋体"/>
          <w:b/>
          <w:color w:val="auto"/>
          <w:sz w:val="30"/>
          <w:szCs w:val="30"/>
          <w:highlight w:val="none"/>
        </w:rPr>
      </w:pPr>
      <w:bookmarkStart w:id="87" w:name="_Toc45697232"/>
      <w:bookmarkEnd w:id="87"/>
      <w:bookmarkStart w:id="88" w:name="_Toc18780"/>
      <w:r>
        <w:rPr>
          <w:rFonts w:hint="eastAsia" w:ascii="宋体" w:hAnsi="宋体"/>
          <w:b/>
          <w:color w:val="auto"/>
          <w:sz w:val="30"/>
          <w:szCs w:val="30"/>
          <w:highlight w:val="none"/>
        </w:rPr>
        <w:t>1.总则</w:t>
      </w:r>
      <w:bookmarkEnd w:id="88"/>
    </w:p>
    <w:p>
      <w:pPr>
        <w:spacing w:line="360" w:lineRule="auto"/>
        <w:ind w:firstLine="236" w:firstLineChars="98"/>
        <w:rPr>
          <w:rFonts w:ascii="宋体" w:hAnsi="宋体"/>
          <w:b/>
          <w:color w:val="auto"/>
          <w:sz w:val="24"/>
          <w:szCs w:val="24"/>
          <w:highlight w:val="none"/>
        </w:rPr>
      </w:pPr>
      <w:bookmarkStart w:id="89" w:name="bookmark23"/>
      <w:bookmarkEnd w:id="89"/>
      <w:r>
        <w:rPr>
          <w:rFonts w:hint="eastAsia" w:ascii="宋体" w:hAnsi="宋体"/>
          <w:b/>
          <w:color w:val="auto"/>
          <w:sz w:val="24"/>
          <w:szCs w:val="24"/>
          <w:highlight w:val="none"/>
        </w:rPr>
        <w:t>1.1招标项目概况</w:t>
      </w:r>
    </w:p>
    <w:p>
      <w:pPr>
        <w:pStyle w:val="10"/>
        <w:numPr>
          <w:ilvl w:val="2"/>
          <w:numId w:val="4"/>
        </w:numPr>
        <w:kinsoku w:val="0"/>
        <w:snapToGrid w:val="0"/>
        <w:spacing w:before="0" w:beforeAutospacing="0" w:after="0" w:afterAutospacing="0" w:line="360" w:lineRule="auto"/>
        <w:ind w:left="0" w:firstLine="388" w:firstLineChars="200"/>
        <w:rPr>
          <w:rFonts w:hAnsi="宋体"/>
          <w:color w:val="auto"/>
          <w:sz w:val="21"/>
          <w:szCs w:val="21"/>
          <w:highlight w:val="none"/>
        </w:rPr>
      </w:pPr>
      <w:r>
        <w:rPr>
          <w:rFonts w:hint="eastAsia" w:ascii="宋体" w:hAnsi="宋体"/>
          <w:color w:val="auto"/>
          <w:spacing w:val="-8"/>
          <w:sz w:val="21"/>
          <w:szCs w:val="21"/>
          <w:highlight w:val="none"/>
        </w:rPr>
        <w:t>根据《中华人民共和国招标投标法》《中华人民共和国招标投标法实施条例》等有关</w:t>
      </w:r>
      <w:r>
        <w:rPr>
          <w:rFonts w:hint="eastAsia" w:ascii="宋体" w:hAnsi="宋体"/>
          <w:color w:val="auto"/>
          <w:sz w:val="21"/>
          <w:szCs w:val="21"/>
          <w:highlight w:val="none"/>
        </w:rPr>
        <w:t>法律、法规和规章的规定，本招标项目已具备招标条件，现对项目施工进行招标。</w:t>
      </w:r>
    </w:p>
    <w:p>
      <w:pPr>
        <w:pStyle w:val="10"/>
        <w:numPr>
          <w:ilvl w:val="2"/>
          <w:numId w:val="4"/>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招标人：见投标人须知前附表。</w:t>
      </w:r>
    </w:p>
    <w:p>
      <w:pPr>
        <w:pStyle w:val="10"/>
        <w:numPr>
          <w:ilvl w:val="2"/>
          <w:numId w:val="4"/>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招标代理机构：见投标人须知前附表。</w:t>
      </w:r>
    </w:p>
    <w:p>
      <w:pPr>
        <w:pStyle w:val="10"/>
        <w:numPr>
          <w:ilvl w:val="2"/>
          <w:numId w:val="4"/>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工程名称：见投标人须知前附表。</w:t>
      </w:r>
    </w:p>
    <w:p>
      <w:pPr>
        <w:pStyle w:val="10"/>
        <w:numPr>
          <w:ilvl w:val="2"/>
          <w:numId w:val="4"/>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工程建设地点：见投标人须知前附表。</w:t>
      </w:r>
    </w:p>
    <w:p>
      <w:pPr>
        <w:pStyle w:val="10"/>
        <w:numPr>
          <w:ilvl w:val="2"/>
          <w:numId w:val="4"/>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工程承包方式：见投标人须知前附表。</w:t>
      </w:r>
    </w:p>
    <w:p>
      <w:pPr>
        <w:spacing w:line="360" w:lineRule="auto"/>
        <w:ind w:firstLine="236" w:firstLineChars="98"/>
        <w:rPr>
          <w:rFonts w:ascii="宋体" w:hAnsi="宋体"/>
          <w:b/>
          <w:color w:val="auto"/>
          <w:sz w:val="24"/>
          <w:szCs w:val="24"/>
          <w:highlight w:val="none"/>
        </w:rPr>
      </w:pPr>
      <w:bookmarkStart w:id="90" w:name="bookmark24"/>
      <w:bookmarkEnd w:id="90"/>
      <w:r>
        <w:rPr>
          <w:rFonts w:hint="eastAsia" w:ascii="宋体" w:hAnsi="宋体"/>
          <w:b/>
          <w:color w:val="auto"/>
          <w:sz w:val="24"/>
          <w:szCs w:val="24"/>
          <w:highlight w:val="none"/>
        </w:rPr>
        <w:t>1.2招标项目的资金来源和落实情况</w:t>
      </w:r>
    </w:p>
    <w:p>
      <w:pPr>
        <w:pStyle w:val="10"/>
        <w:numPr>
          <w:ilvl w:val="2"/>
          <w:numId w:val="5"/>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资金来源及比例：见投标人须知前附表。</w:t>
      </w:r>
    </w:p>
    <w:p>
      <w:pPr>
        <w:pStyle w:val="10"/>
        <w:numPr>
          <w:ilvl w:val="2"/>
          <w:numId w:val="5"/>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资金落实情况：见投标人须知前附表。</w:t>
      </w:r>
    </w:p>
    <w:p>
      <w:pPr>
        <w:spacing w:line="360" w:lineRule="auto"/>
        <w:ind w:firstLine="236" w:firstLineChars="98"/>
        <w:rPr>
          <w:rFonts w:ascii="宋体" w:hAnsi="宋体"/>
          <w:b/>
          <w:color w:val="auto"/>
          <w:sz w:val="24"/>
          <w:szCs w:val="24"/>
          <w:highlight w:val="none"/>
        </w:rPr>
      </w:pPr>
      <w:bookmarkStart w:id="91" w:name="bookmark25"/>
      <w:bookmarkEnd w:id="91"/>
      <w:r>
        <w:rPr>
          <w:rFonts w:hint="eastAsia" w:ascii="宋体" w:hAnsi="宋体"/>
          <w:b/>
          <w:color w:val="auto"/>
          <w:sz w:val="24"/>
          <w:szCs w:val="24"/>
          <w:highlight w:val="none"/>
        </w:rPr>
        <w:t>1.3招标范围、计划工期和质量要求</w:t>
      </w:r>
    </w:p>
    <w:p>
      <w:pPr>
        <w:pStyle w:val="10"/>
        <w:numPr>
          <w:ilvl w:val="2"/>
          <w:numId w:val="6"/>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招标范围：见投标人须知前附表。</w:t>
      </w:r>
    </w:p>
    <w:p>
      <w:pPr>
        <w:pStyle w:val="10"/>
        <w:numPr>
          <w:ilvl w:val="2"/>
          <w:numId w:val="6"/>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计划工期：见投标人须知前附表。</w:t>
      </w:r>
    </w:p>
    <w:p>
      <w:pPr>
        <w:pStyle w:val="10"/>
        <w:numPr>
          <w:ilvl w:val="2"/>
          <w:numId w:val="6"/>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质量要求：见投标人须知前附表。</w:t>
      </w:r>
    </w:p>
    <w:p>
      <w:pPr>
        <w:spacing w:line="360" w:lineRule="auto"/>
        <w:ind w:firstLine="236" w:firstLineChars="98"/>
        <w:rPr>
          <w:rFonts w:ascii="宋体" w:hAnsi="宋体"/>
          <w:b/>
          <w:color w:val="auto"/>
          <w:sz w:val="24"/>
          <w:szCs w:val="24"/>
          <w:highlight w:val="none"/>
        </w:rPr>
      </w:pPr>
      <w:bookmarkStart w:id="92" w:name="bookmark26"/>
      <w:bookmarkEnd w:id="92"/>
      <w:r>
        <w:rPr>
          <w:rFonts w:hint="eastAsia" w:ascii="宋体" w:hAnsi="宋体"/>
          <w:b/>
          <w:color w:val="auto"/>
          <w:sz w:val="24"/>
          <w:szCs w:val="24"/>
          <w:highlight w:val="none"/>
        </w:rPr>
        <w:t>1.4投标人资格要求</w:t>
      </w:r>
    </w:p>
    <w:p>
      <w:pPr>
        <w:pStyle w:val="10"/>
        <w:numPr>
          <w:ilvl w:val="2"/>
          <w:numId w:val="7"/>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投标人应具备承担本招标项目资质条件、能力和信誉：</w:t>
      </w:r>
    </w:p>
    <w:p>
      <w:pPr>
        <w:pStyle w:val="10"/>
        <w:numPr>
          <w:ilvl w:val="0"/>
          <w:numId w:val="8"/>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资质要求：见投标人须知前附表；</w:t>
      </w:r>
    </w:p>
    <w:p>
      <w:pPr>
        <w:pStyle w:val="10"/>
        <w:numPr>
          <w:ilvl w:val="0"/>
          <w:numId w:val="8"/>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业绩要求：见投标人须知前附表；</w:t>
      </w:r>
    </w:p>
    <w:p>
      <w:pPr>
        <w:pStyle w:val="10"/>
        <w:numPr>
          <w:ilvl w:val="0"/>
          <w:numId w:val="8"/>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项目负责人</w:t>
      </w:r>
      <w:r>
        <w:rPr>
          <w:rFonts w:hint="eastAsia" w:ascii="宋体" w:hAnsi="宋体"/>
          <w:color w:val="auto"/>
          <w:spacing w:val="-6"/>
          <w:sz w:val="21"/>
          <w:szCs w:val="21"/>
          <w:highlight w:val="none"/>
        </w:rPr>
        <w:t>的资格要求：见投标</w:t>
      </w:r>
      <w:r>
        <w:rPr>
          <w:rFonts w:hint="eastAsia" w:ascii="宋体" w:hAnsi="宋体"/>
          <w:color w:val="auto"/>
          <w:sz w:val="21"/>
          <w:szCs w:val="21"/>
          <w:highlight w:val="none"/>
        </w:rPr>
        <w:t>人须知前附表；</w:t>
      </w:r>
    </w:p>
    <w:p>
      <w:pPr>
        <w:pStyle w:val="10"/>
        <w:numPr>
          <w:ilvl w:val="0"/>
          <w:numId w:val="8"/>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其他要求：见投标人须知前附表。</w:t>
      </w:r>
    </w:p>
    <w:p>
      <w:pPr>
        <w:pStyle w:val="10"/>
        <w:numPr>
          <w:ilvl w:val="2"/>
          <w:numId w:val="7"/>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投标人须知前附表规定接受联合体投标的，联合体除应符合本章</w:t>
      </w:r>
      <w:r>
        <w:rPr>
          <w:rFonts w:hAnsi="宋体"/>
          <w:color w:val="auto"/>
          <w:sz w:val="21"/>
          <w:szCs w:val="21"/>
          <w:highlight w:val="none"/>
        </w:rPr>
        <w:t>1.4.1</w:t>
      </w:r>
      <w:r>
        <w:rPr>
          <w:rFonts w:hint="eastAsia" w:ascii="宋体" w:hAnsi="宋体"/>
          <w:color w:val="auto"/>
          <w:sz w:val="21"/>
          <w:szCs w:val="21"/>
          <w:highlight w:val="none"/>
        </w:rPr>
        <w:t>项和投标人须知前附表的要求外，还应遵守以下规定：</w:t>
      </w:r>
    </w:p>
    <w:p>
      <w:pPr>
        <w:pStyle w:val="10"/>
        <w:numPr>
          <w:ilvl w:val="0"/>
          <w:numId w:val="9"/>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联合体各方应按招标文件提供的格式签订联合体协议书，明确联合体牵头人和各方权利义务；</w:t>
      </w:r>
    </w:p>
    <w:p>
      <w:pPr>
        <w:pStyle w:val="10"/>
        <w:numPr>
          <w:ilvl w:val="0"/>
          <w:numId w:val="9"/>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联合体的各专业资质等级，根据共同投标协议约定的专业分工，分别按照承担相应专业工作的资质等级较低的单位确定；</w:t>
      </w:r>
    </w:p>
    <w:p>
      <w:pPr>
        <w:pStyle w:val="10"/>
        <w:numPr>
          <w:ilvl w:val="0"/>
          <w:numId w:val="9"/>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联合体各方不得再以自己名义单独或参加其他联合体在同一标段中投标。</w:t>
      </w:r>
    </w:p>
    <w:p>
      <w:pPr>
        <w:pStyle w:val="10"/>
        <w:numPr>
          <w:ilvl w:val="2"/>
          <w:numId w:val="7"/>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投标人的资格审查方式</w:t>
      </w:r>
      <w:r>
        <w:rPr>
          <w:rFonts w:hAnsi="宋体"/>
          <w:color w:val="auto"/>
          <w:sz w:val="21"/>
          <w:szCs w:val="21"/>
          <w:highlight w:val="none"/>
        </w:rPr>
        <w:t>:</w:t>
      </w:r>
      <w:r>
        <w:rPr>
          <w:rFonts w:hint="eastAsia" w:ascii="宋体" w:hAnsi="宋体"/>
          <w:color w:val="auto"/>
          <w:sz w:val="21"/>
          <w:szCs w:val="21"/>
          <w:highlight w:val="none"/>
        </w:rPr>
        <w:t>见投标人须知前附表。</w:t>
      </w:r>
    </w:p>
    <w:p>
      <w:pPr>
        <w:pStyle w:val="10"/>
        <w:numPr>
          <w:ilvl w:val="2"/>
          <w:numId w:val="7"/>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投标人不得存在下列情形之一：</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为招标人不具有独立法人资格的附属机构（单位）；</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为与招标人存在利害关系可能影响招标公正性的法人、其他组织或者个人；</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不同投标人的单位负责人为同一人或者互相存在控股、管理关系的；</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为本标段前期准备提供设计或咨询服务的；</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为本标段的监理人；</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为本标段的代建人；</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为本标段提供招标代理服务的；</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与本标段的监理人或代建人或招标代理机构同为一个法定代表人的；</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与本标段的监理人或代建人或招标代理机构相互控股或参股的；</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与本标段的监理人或代建人或招标代理机构相互任职或工作的；</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被责令停产停业、暂扣或者吊销许可证、暂扣或者吊销执照；</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进入清算程序，或被宣告破产；</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被依法暂停或取消投标资格的；</w:t>
      </w:r>
    </w:p>
    <w:p>
      <w:pPr>
        <w:pStyle w:val="10"/>
        <w:numPr>
          <w:ilvl w:val="0"/>
          <w:numId w:val="10"/>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法律法规或投标人须知前附表规定的其他情形。</w:t>
      </w:r>
    </w:p>
    <w:p>
      <w:pPr>
        <w:spacing w:line="360" w:lineRule="auto"/>
        <w:ind w:firstLine="236" w:firstLineChars="98"/>
        <w:rPr>
          <w:rFonts w:ascii="宋体" w:hAnsi="宋体"/>
          <w:b/>
          <w:color w:val="auto"/>
          <w:sz w:val="24"/>
          <w:szCs w:val="24"/>
          <w:highlight w:val="none"/>
        </w:rPr>
      </w:pPr>
      <w:bookmarkStart w:id="93" w:name="bookmark27"/>
      <w:bookmarkEnd w:id="93"/>
      <w:r>
        <w:rPr>
          <w:rFonts w:hint="eastAsia" w:ascii="宋体" w:hAnsi="宋体"/>
          <w:b/>
          <w:color w:val="auto"/>
          <w:sz w:val="24"/>
          <w:szCs w:val="24"/>
          <w:highlight w:val="none"/>
        </w:rPr>
        <w:t>1.5费用承担</w:t>
      </w:r>
    </w:p>
    <w:p>
      <w:pPr>
        <w:pStyle w:val="10"/>
        <w:kinsoku w:val="0"/>
        <w:spacing w:before="0" w:beforeAutospacing="0" w:after="0" w:afterAutospacing="0" w:line="360" w:lineRule="auto"/>
        <w:ind w:right="44"/>
        <w:rPr>
          <w:rFonts w:hAnsi="宋体"/>
          <w:color w:val="auto"/>
          <w:sz w:val="21"/>
          <w:szCs w:val="21"/>
          <w:highlight w:val="none"/>
        </w:rPr>
      </w:pPr>
      <w:r>
        <w:rPr>
          <w:rFonts w:hint="eastAsia" w:ascii="宋体" w:hAnsi="宋体"/>
          <w:color w:val="auto"/>
          <w:sz w:val="21"/>
          <w:szCs w:val="21"/>
          <w:highlight w:val="none"/>
        </w:rPr>
        <w:t>投标人准备和参加投标活动发生的费用自理。</w:t>
      </w:r>
    </w:p>
    <w:p>
      <w:pPr>
        <w:spacing w:line="360" w:lineRule="auto"/>
        <w:ind w:firstLine="236" w:firstLineChars="98"/>
        <w:rPr>
          <w:rFonts w:ascii="宋体" w:hAnsi="宋体"/>
          <w:b/>
          <w:color w:val="auto"/>
          <w:sz w:val="24"/>
          <w:szCs w:val="24"/>
          <w:highlight w:val="none"/>
        </w:rPr>
      </w:pPr>
      <w:bookmarkStart w:id="94" w:name="bookmark28"/>
      <w:bookmarkEnd w:id="94"/>
      <w:r>
        <w:rPr>
          <w:rFonts w:hint="eastAsia" w:ascii="宋体" w:hAnsi="宋体"/>
          <w:b/>
          <w:color w:val="auto"/>
          <w:sz w:val="24"/>
          <w:szCs w:val="24"/>
          <w:highlight w:val="none"/>
        </w:rPr>
        <w:t>1.6保密</w:t>
      </w:r>
    </w:p>
    <w:p>
      <w:pPr>
        <w:pStyle w:val="10"/>
        <w:kinsoku w:val="0"/>
        <w:snapToGrid w:val="0"/>
        <w:spacing w:before="0" w:beforeAutospacing="0" w:after="0" w:afterAutospacing="0" w:line="360" w:lineRule="auto"/>
        <w:ind w:left="0" w:firstLine="416" w:firstLineChars="200"/>
        <w:rPr>
          <w:rFonts w:hAnsi="宋体"/>
          <w:color w:val="auto"/>
          <w:sz w:val="21"/>
          <w:szCs w:val="21"/>
          <w:highlight w:val="none"/>
        </w:rPr>
      </w:pPr>
      <w:r>
        <w:rPr>
          <w:rFonts w:hint="eastAsia" w:ascii="宋体" w:hAnsi="宋体"/>
          <w:color w:val="auto"/>
          <w:spacing w:val="-1"/>
          <w:sz w:val="21"/>
          <w:szCs w:val="21"/>
          <w:highlight w:val="none"/>
        </w:rPr>
        <w:t>参与招标投标活动的各方应对招标文件和投标文件中的商业和技术等秘密保密，否则应承</w:t>
      </w:r>
      <w:r>
        <w:rPr>
          <w:rFonts w:hint="eastAsia" w:ascii="宋体" w:hAnsi="宋体"/>
          <w:color w:val="auto"/>
          <w:sz w:val="21"/>
          <w:szCs w:val="21"/>
          <w:highlight w:val="none"/>
        </w:rPr>
        <w:t>担相应的法律责任。</w:t>
      </w:r>
    </w:p>
    <w:p>
      <w:pPr>
        <w:spacing w:line="360" w:lineRule="auto"/>
        <w:ind w:firstLine="236" w:firstLineChars="98"/>
        <w:rPr>
          <w:rFonts w:ascii="宋体" w:hAnsi="宋体"/>
          <w:b/>
          <w:color w:val="auto"/>
          <w:sz w:val="24"/>
          <w:szCs w:val="24"/>
          <w:highlight w:val="none"/>
        </w:rPr>
      </w:pPr>
      <w:bookmarkStart w:id="95" w:name="bookmark29"/>
      <w:bookmarkEnd w:id="95"/>
      <w:r>
        <w:rPr>
          <w:rFonts w:hint="eastAsia" w:ascii="宋体" w:hAnsi="宋体"/>
          <w:b/>
          <w:color w:val="auto"/>
          <w:sz w:val="24"/>
          <w:szCs w:val="24"/>
          <w:highlight w:val="none"/>
        </w:rPr>
        <w:t>1.7语言文字</w:t>
      </w:r>
    </w:p>
    <w:p>
      <w:pPr>
        <w:pStyle w:val="10"/>
        <w:kinsoku w:val="0"/>
        <w:snapToGrid w:val="0"/>
        <w:spacing w:before="0" w:beforeAutospacing="0" w:after="0" w:afterAutospacing="0" w:line="360" w:lineRule="auto"/>
        <w:ind w:left="0" w:firstLine="420" w:firstLineChars="200"/>
        <w:rPr>
          <w:rFonts w:hAnsi="宋体"/>
          <w:color w:val="auto"/>
          <w:highlight w:val="none"/>
        </w:rPr>
      </w:pPr>
      <w:r>
        <w:rPr>
          <w:rFonts w:hint="eastAsia" w:ascii="宋体" w:hAnsi="宋体"/>
          <w:color w:val="auto"/>
          <w:sz w:val="21"/>
          <w:szCs w:val="21"/>
          <w:highlight w:val="none"/>
        </w:rPr>
        <w:t>招标投标文件使用的语言文字为中文。专用术语使用外文的，应附有中文注释。</w:t>
      </w:r>
    </w:p>
    <w:p>
      <w:pPr>
        <w:spacing w:line="360" w:lineRule="auto"/>
        <w:ind w:firstLine="236" w:firstLineChars="98"/>
        <w:rPr>
          <w:rFonts w:ascii="宋体" w:hAnsi="宋体"/>
          <w:b/>
          <w:color w:val="auto"/>
          <w:sz w:val="24"/>
          <w:szCs w:val="24"/>
          <w:highlight w:val="none"/>
        </w:rPr>
      </w:pPr>
      <w:bookmarkStart w:id="96" w:name="bookmark30"/>
      <w:bookmarkEnd w:id="96"/>
      <w:r>
        <w:rPr>
          <w:rFonts w:hint="eastAsia" w:ascii="宋体" w:hAnsi="宋体"/>
          <w:b/>
          <w:color w:val="auto"/>
          <w:sz w:val="24"/>
          <w:szCs w:val="24"/>
          <w:highlight w:val="none"/>
        </w:rPr>
        <w:t>1.8计量单位</w:t>
      </w:r>
    </w:p>
    <w:p>
      <w:pPr>
        <w:pStyle w:val="10"/>
        <w:kinsoku w:val="0"/>
        <w:spacing w:before="0" w:beforeAutospacing="0" w:after="0" w:afterAutospacing="0" w:line="360" w:lineRule="auto"/>
        <w:ind w:right="44"/>
        <w:rPr>
          <w:rFonts w:hAnsi="宋体"/>
          <w:color w:val="auto"/>
          <w:highlight w:val="none"/>
        </w:rPr>
      </w:pPr>
      <w:r>
        <w:rPr>
          <w:rFonts w:hint="eastAsia" w:ascii="宋体" w:hAnsi="宋体"/>
          <w:color w:val="auto"/>
          <w:sz w:val="21"/>
          <w:szCs w:val="21"/>
          <w:highlight w:val="none"/>
        </w:rPr>
        <w:t>所有计量均采用中华人民共和国法定计量单位</w:t>
      </w:r>
      <w:r>
        <w:rPr>
          <w:rFonts w:hint="eastAsia" w:ascii="宋体" w:hAnsi="宋体"/>
          <w:color w:val="auto"/>
          <w:highlight w:val="none"/>
        </w:rPr>
        <w:t>。</w:t>
      </w:r>
    </w:p>
    <w:p>
      <w:pPr>
        <w:spacing w:line="360" w:lineRule="auto"/>
        <w:ind w:firstLine="236" w:firstLineChars="98"/>
        <w:rPr>
          <w:rFonts w:ascii="宋体" w:hAnsi="宋体"/>
          <w:b/>
          <w:color w:val="auto"/>
          <w:sz w:val="24"/>
          <w:szCs w:val="24"/>
          <w:highlight w:val="none"/>
        </w:rPr>
      </w:pPr>
      <w:bookmarkStart w:id="97" w:name="bookmark31"/>
      <w:bookmarkEnd w:id="97"/>
      <w:r>
        <w:rPr>
          <w:rFonts w:hint="eastAsia" w:ascii="宋体" w:hAnsi="宋体"/>
          <w:b/>
          <w:color w:val="auto"/>
          <w:sz w:val="24"/>
          <w:szCs w:val="24"/>
          <w:highlight w:val="none"/>
        </w:rPr>
        <w:t>1.9踏勘现场</w:t>
      </w:r>
    </w:p>
    <w:p>
      <w:pPr>
        <w:pStyle w:val="10"/>
        <w:numPr>
          <w:ilvl w:val="2"/>
          <w:numId w:val="11"/>
        </w:numPr>
        <w:kinsoku w:val="0"/>
        <w:snapToGrid w:val="0"/>
        <w:spacing w:before="0" w:beforeAutospacing="0" w:after="0" w:afterAutospacing="0" w:line="360" w:lineRule="auto"/>
        <w:ind w:left="0" w:firstLine="404" w:firstLineChars="200"/>
        <w:rPr>
          <w:rFonts w:hAnsi="宋体"/>
          <w:color w:val="auto"/>
          <w:spacing w:val="-6"/>
          <w:sz w:val="21"/>
          <w:szCs w:val="21"/>
          <w:highlight w:val="none"/>
        </w:rPr>
      </w:pPr>
      <w:r>
        <w:rPr>
          <w:rFonts w:hint="eastAsia" w:ascii="宋体" w:hAnsi="宋体"/>
          <w:color w:val="auto"/>
          <w:spacing w:val="-4"/>
          <w:sz w:val="21"/>
          <w:szCs w:val="21"/>
          <w:highlight w:val="none"/>
        </w:rPr>
        <w:t>投标人须知前附表规定组织踏勘现场的，招标人按投标人须知前附表规定的时间、地</w:t>
      </w:r>
      <w:r>
        <w:rPr>
          <w:rFonts w:hint="eastAsia" w:ascii="宋体" w:hAnsi="宋体"/>
          <w:color w:val="auto"/>
          <w:spacing w:val="-6"/>
          <w:sz w:val="21"/>
          <w:szCs w:val="21"/>
          <w:highlight w:val="none"/>
        </w:rPr>
        <w:t>点组织投标人踏勘项目现场。部分投标人未按时参加踏勘现场的，不影响踏勘现场的正常进行。</w:t>
      </w:r>
    </w:p>
    <w:p>
      <w:pPr>
        <w:pStyle w:val="10"/>
        <w:numPr>
          <w:ilvl w:val="2"/>
          <w:numId w:val="11"/>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投标人踏勘现场发生的费用自理。</w:t>
      </w:r>
    </w:p>
    <w:p>
      <w:pPr>
        <w:pStyle w:val="10"/>
        <w:numPr>
          <w:ilvl w:val="2"/>
          <w:numId w:val="11"/>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除招标人的原因外，投标人自行负责在踏勘现场中所发生的人员伤亡和财产损失。</w:t>
      </w:r>
    </w:p>
    <w:p>
      <w:pPr>
        <w:pStyle w:val="10"/>
        <w:numPr>
          <w:ilvl w:val="2"/>
          <w:numId w:val="11"/>
        </w:numPr>
        <w:kinsoku w:val="0"/>
        <w:snapToGrid w:val="0"/>
        <w:spacing w:before="0" w:beforeAutospacing="0" w:after="0" w:afterAutospacing="0" w:line="360" w:lineRule="auto"/>
        <w:ind w:left="0" w:firstLine="404" w:firstLineChars="200"/>
        <w:rPr>
          <w:rFonts w:hAnsi="宋体"/>
          <w:color w:val="auto"/>
          <w:sz w:val="21"/>
          <w:szCs w:val="21"/>
          <w:highlight w:val="none"/>
        </w:rPr>
      </w:pPr>
      <w:r>
        <w:rPr>
          <w:rFonts w:hint="eastAsia" w:ascii="宋体" w:hAnsi="宋体"/>
          <w:color w:val="auto"/>
          <w:spacing w:val="-4"/>
          <w:sz w:val="21"/>
          <w:szCs w:val="21"/>
          <w:highlight w:val="none"/>
        </w:rPr>
        <w:t>招标人在踏勘现场中介绍的工程场地和相关的周边环境情况，供投标人在编制投标文</w:t>
      </w:r>
      <w:r>
        <w:rPr>
          <w:rFonts w:hint="eastAsia" w:ascii="宋体" w:hAnsi="宋体"/>
          <w:color w:val="auto"/>
          <w:sz w:val="21"/>
          <w:szCs w:val="21"/>
          <w:highlight w:val="none"/>
        </w:rPr>
        <w:t>件时参考，招标人不对投标人据此作出的判断和决策负责。</w:t>
      </w:r>
    </w:p>
    <w:p>
      <w:pPr>
        <w:spacing w:line="360" w:lineRule="auto"/>
        <w:ind w:firstLine="236" w:firstLineChars="98"/>
        <w:rPr>
          <w:rFonts w:ascii="宋体" w:hAnsi="宋体"/>
          <w:b/>
          <w:color w:val="auto"/>
          <w:sz w:val="24"/>
          <w:szCs w:val="24"/>
          <w:highlight w:val="none"/>
        </w:rPr>
      </w:pPr>
      <w:bookmarkStart w:id="98" w:name="bookmark32"/>
      <w:bookmarkEnd w:id="98"/>
      <w:r>
        <w:rPr>
          <w:rFonts w:hint="eastAsia" w:ascii="宋体" w:hAnsi="宋体"/>
          <w:b/>
          <w:color w:val="auto"/>
          <w:sz w:val="24"/>
          <w:szCs w:val="24"/>
          <w:highlight w:val="none"/>
        </w:rPr>
        <w:t>1.10投标预备会</w:t>
      </w:r>
    </w:p>
    <w:p>
      <w:pPr>
        <w:pStyle w:val="10"/>
        <w:numPr>
          <w:ilvl w:val="2"/>
          <w:numId w:val="12"/>
        </w:numPr>
        <w:kinsoku w:val="0"/>
        <w:spacing w:before="0" w:beforeAutospacing="0" w:after="0" w:afterAutospacing="0" w:line="360" w:lineRule="auto"/>
        <w:ind w:left="0" w:right="45" w:firstLine="420" w:firstLineChars="200"/>
        <w:rPr>
          <w:rFonts w:hAnsi="宋体"/>
          <w:color w:val="auto"/>
          <w:sz w:val="21"/>
          <w:szCs w:val="21"/>
          <w:highlight w:val="none"/>
        </w:rPr>
      </w:pPr>
      <w:r>
        <w:rPr>
          <w:rFonts w:hint="eastAsia" w:ascii="宋体" w:hAnsi="宋体"/>
          <w:color w:val="auto"/>
          <w:sz w:val="21"/>
          <w:szCs w:val="21"/>
          <w:highlight w:val="none"/>
        </w:rPr>
        <w:t>投标人须知前附表规定召开投标预备会的，招标人按投标人须知前附表规定的时间和地点召开投标预备会，澄清投标人提出的问题。</w:t>
      </w:r>
    </w:p>
    <w:p>
      <w:pPr>
        <w:spacing w:line="360" w:lineRule="auto"/>
        <w:ind w:firstLine="236" w:firstLineChars="98"/>
        <w:rPr>
          <w:rFonts w:ascii="宋体" w:hAnsi="宋体"/>
          <w:b/>
          <w:color w:val="auto"/>
          <w:sz w:val="24"/>
          <w:szCs w:val="24"/>
          <w:highlight w:val="none"/>
        </w:rPr>
      </w:pPr>
      <w:bookmarkStart w:id="99" w:name="bookmark33"/>
      <w:bookmarkEnd w:id="99"/>
      <w:r>
        <w:rPr>
          <w:rFonts w:hint="eastAsia" w:ascii="宋体" w:hAnsi="宋体"/>
          <w:b/>
          <w:color w:val="auto"/>
          <w:sz w:val="24"/>
          <w:szCs w:val="24"/>
          <w:highlight w:val="none"/>
        </w:rPr>
        <w:t>1.11分包</w:t>
      </w:r>
    </w:p>
    <w:p>
      <w:pPr>
        <w:pStyle w:val="10"/>
        <w:kinsoku w:val="0"/>
        <w:snapToGrid w:val="0"/>
        <w:spacing w:before="0" w:beforeAutospacing="0" w:after="0" w:afterAutospacing="0" w:line="360" w:lineRule="auto"/>
        <w:ind w:left="0" w:firstLine="420" w:firstLineChars="200"/>
        <w:jc w:val="both"/>
        <w:rPr>
          <w:rFonts w:hAnsi="宋体"/>
          <w:color w:val="auto"/>
          <w:sz w:val="21"/>
          <w:szCs w:val="21"/>
          <w:highlight w:val="none"/>
        </w:rPr>
      </w:pPr>
      <w:r>
        <w:rPr>
          <w:rFonts w:hint="eastAsia" w:ascii="宋体" w:hAnsi="宋体"/>
          <w:color w:val="auto"/>
          <w:sz w:val="21"/>
          <w:szCs w:val="21"/>
          <w:highlight w:val="none"/>
        </w:rPr>
        <w:t>投标人拟在中标后将中标项目的非主体、非关键性工作进行分包的，</w:t>
      </w:r>
      <w:bookmarkStart w:id="100" w:name="_Hlk27203995"/>
      <w:r>
        <w:rPr>
          <w:rFonts w:hint="eastAsia" w:ascii="宋体" w:hAnsi="宋体"/>
          <w:color w:val="auto"/>
          <w:sz w:val="21"/>
          <w:szCs w:val="21"/>
          <w:highlight w:val="none"/>
        </w:rPr>
        <w:t>应符合相关法律法规规定。</w:t>
      </w:r>
      <w:bookmarkEnd w:id="100"/>
    </w:p>
    <w:p>
      <w:pPr>
        <w:spacing w:line="360" w:lineRule="auto"/>
        <w:ind w:firstLine="236" w:firstLineChars="98"/>
        <w:rPr>
          <w:rFonts w:ascii="宋体" w:hAnsi="宋体"/>
          <w:b/>
          <w:color w:val="auto"/>
          <w:sz w:val="24"/>
          <w:szCs w:val="24"/>
          <w:highlight w:val="none"/>
        </w:rPr>
      </w:pPr>
      <w:bookmarkStart w:id="101" w:name="bookmark34"/>
      <w:bookmarkEnd w:id="101"/>
      <w:r>
        <w:rPr>
          <w:rFonts w:hint="eastAsia" w:ascii="宋体" w:hAnsi="宋体"/>
          <w:b/>
          <w:color w:val="auto"/>
          <w:sz w:val="24"/>
          <w:szCs w:val="24"/>
          <w:highlight w:val="none"/>
        </w:rPr>
        <w:t>1.12偏差</w:t>
      </w:r>
    </w:p>
    <w:p>
      <w:pPr>
        <w:pStyle w:val="10"/>
        <w:numPr>
          <w:ilvl w:val="2"/>
          <w:numId w:val="13"/>
        </w:numPr>
        <w:kinsoku w:val="0"/>
        <w:spacing w:before="0" w:beforeAutospacing="0" w:after="0" w:afterAutospacing="0" w:line="360" w:lineRule="auto"/>
        <w:ind w:left="0" w:firstLine="420" w:firstLineChars="200"/>
        <w:rPr>
          <w:rFonts w:hAnsi="宋体"/>
          <w:color w:val="auto"/>
          <w:spacing w:val="-1"/>
          <w:sz w:val="21"/>
          <w:szCs w:val="21"/>
          <w:highlight w:val="none"/>
        </w:rPr>
      </w:pPr>
      <w:r>
        <w:rPr>
          <w:rFonts w:hint="eastAsia" w:ascii="宋体" w:hAnsi="宋体"/>
          <w:color w:val="auto"/>
          <w:sz w:val="21"/>
          <w:szCs w:val="21"/>
          <w:highlight w:val="none"/>
        </w:rPr>
        <w:t>投标文件应当对招标文件的实质性要求和条件作出满足性或更有利于招标人的响应，否则，投标人的投标将被否决。实质性要求和条件见投标人须知前附表。</w:t>
      </w:r>
    </w:p>
    <w:p>
      <w:pPr>
        <w:pStyle w:val="10"/>
        <w:numPr>
          <w:ilvl w:val="2"/>
          <w:numId w:val="13"/>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spacing w:line="360" w:lineRule="auto"/>
        <w:rPr>
          <w:rFonts w:ascii="宋体" w:hAnsi="宋体"/>
          <w:b/>
          <w:color w:val="auto"/>
          <w:sz w:val="30"/>
          <w:szCs w:val="30"/>
          <w:highlight w:val="none"/>
        </w:rPr>
      </w:pPr>
      <w:bookmarkStart w:id="102" w:name="_Toc12149"/>
      <w:bookmarkEnd w:id="102"/>
      <w:bookmarkStart w:id="103" w:name="_Toc45697233"/>
      <w:bookmarkEnd w:id="103"/>
      <w:bookmarkStart w:id="104" w:name="_Toc22828069"/>
      <w:r>
        <w:rPr>
          <w:rFonts w:hint="eastAsia" w:ascii="宋体" w:hAnsi="宋体"/>
          <w:b/>
          <w:color w:val="auto"/>
          <w:sz w:val="30"/>
          <w:szCs w:val="30"/>
          <w:highlight w:val="none"/>
        </w:rPr>
        <w:t>2.招标文件</w:t>
      </w:r>
      <w:bookmarkEnd w:id="104"/>
    </w:p>
    <w:p>
      <w:pPr>
        <w:spacing w:line="360" w:lineRule="auto"/>
        <w:ind w:firstLine="236" w:firstLineChars="98"/>
        <w:rPr>
          <w:rFonts w:ascii="宋体" w:hAnsi="宋体"/>
          <w:b/>
          <w:color w:val="auto"/>
          <w:sz w:val="24"/>
          <w:szCs w:val="24"/>
          <w:highlight w:val="none"/>
        </w:rPr>
      </w:pPr>
      <w:bookmarkStart w:id="105" w:name="bookmark36"/>
      <w:bookmarkEnd w:id="105"/>
      <w:r>
        <w:rPr>
          <w:rFonts w:hint="eastAsia" w:ascii="宋体" w:hAnsi="宋体"/>
          <w:b/>
          <w:color w:val="auto"/>
          <w:sz w:val="24"/>
          <w:szCs w:val="24"/>
          <w:highlight w:val="none"/>
        </w:rPr>
        <w:t>2.1招标文件的组成</w:t>
      </w:r>
    </w:p>
    <w:p>
      <w:pPr>
        <w:pStyle w:val="10"/>
        <w:kinsoku w:val="0"/>
        <w:snapToGrid w:val="0"/>
        <w:spacing w:before="0" w:beforeAutospacing="0" w:after="0" w:afterAutospacing="0" w:line="360" w:lineRule="auto"/>
        <w:ind w:left="0" w:firstLine="210" w:firstLineChars="100"/>
        <w:rPr>
          <w:rFonts w:hAnsi="宋体"/>
          <w:color w:val="auto"/>
          <w:sz w:val="21"/>
          <w:szCs w:val="21"/>
          <w:highlight w:val="none"/>
        </w:rPr>
      </w:pPr>
      <w:r>
        <w:rPr>
          <w:rFonts w:hint="eastAsia" w:ascii="宋体" w:hAnsi="宋体"/>
          <w:color w:val="auto"/>
          <w:sz w:val="21"/>
          <w:szCs w:val="21"/>
          <w:highlight w:val="none"/>
        </w:rPr>
        <w:t>本招标文件包括：</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招标公告（或投标邀请书）；</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投标人须知；</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评标办法；</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合同条款及格式；</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工程规范；</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工程量清单（应同时编制招标控制价及明细）；</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图纸及其他资料；</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投标文件格式；</w:t>
      </w:r>
    </w:p>
    <w:p>
      <w:pPr>
        <w:pStyle w:val="10"/>
        <w:numPr>
          <w:ilvl w:val="0"/>
          <w:numId w:val="14"/>
        </w:numPr>
        <w:kinsoku w:val="0"/>
        <w:spacing w:before="0" w:beforeAutospacing="0" w:after="0" w:afterAutospacing="0" w:line="360" w:lineRule="auto"/>
        <w:ind w:left="272" w:firstLine="448"/>
        <w:rPr>
          <w:rFonts w:hAnsi="宋体"/>
          <w:color w:val="auto"/>
          <w:spacing w:val="-8"/>
          <w:sz w:val="21"/>
          <w:szCs w:val="21"/>
          <w:highlight w:val="none"/>
        </w:rPr>
      </w:pPr>
      <w:r>
        <w:rPr>
          <w:rFonts w:hint="eastAsia" w:ascii="宋体" w:hAnsi="宋体"/>
          <w:color w:val="auto"/>
          <w:spacing w:val="-8"/>
          <w:sz w:val="21"/>
          <w:szCs w:val="21"/>
          <w:highlight w:val="none"/>
        </w:rPr>
        <w:t>投标人须知前附表规定的其他材料（招标控制价及明细</w:t>
      </w:r>
      <w:r>
        <w:rPr>
          <w:rFonts w:hint="eastAsia" w:ascii="宋体" w:hAnsi="宋体"/>
          <w:color w:val="auto"/>
          <w:sz w:val="21"/>
          <w:szCs w:val="21"/>
          <w:highlight w:val="none"/>
        </w:rPr>
        <w:t>除外</w:t>
      </w:r>
      <w:r>
        <w:rPr>
          <w:rFonts w:hint="eastAsia" w:ascii="宋体" w:hAnsi="宋体"/>
          <w:color w:val="auto"/>
          <w:spacing w:val="-8"/>
          <w:sz w:val="21"/>
          <w:szCs w:val="21"/>
          <w:highlight w:val="none"/>
        </w:rPr>
        <w:t>）。</w:t>
      </w:r>
    </w:p>
    <w:p>
      <w:pPr>
        <w:pStyle w:val="10"/>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根据本章第</w:t>
      </w:r>
      <w:r>
        <w:rPr>
          <w:rFonts w:hAnsi="宋体"/>
          <w:color w:val="auto"/>
          <w:sz w:val="21"/>
          <w:szCs w:val="21"/>
          <w:highlight w:val="none"/>
        </w:rPr>
        <w:t>1.10</w:t>
      </w:r>
      <w:r>
        <w:rPr>
          <w:rFonts w:hint="eastAsia" w:ascii="宋体" w:hAnsi="宋体"/>
          <w:color w:val="auto"/>
          <w:sz w:val="21"/>
          <w:szCs w:val="21"/>
          <w:highlight w:val="none"/>
        </w:rPr>
        <w:t>款、第</w:t>
      </w:r>
      <w:r>
        <w:rPr>
          <w:rFonts w:hAnsi="宋体"/>
          <w:color w:val="auto"/>
          <w:sz w:val="21"/>
          <w:szCs w:val="21"/>
          <w:highlight w:val="none"/>
        </w:rPr>
        <w:t>2.2</w:t>
      </w:r>
      <w:r>
        <w:rPr>
          <w:rFonts w:hint="eastAsia" w:ascii="宋体" w:hAnsi="宋体"/>
          <w:color w:val="auto"/>
          <w:sz w:val="21"/>
          <w:szCs w:val="21"/>
          <w:highlight w:val="none"/>
        </w:rPr>
        <w:t>款和第</w:t>
      </w:r>
      <w:r>
        <w:rPr>
          <w:rFonts w:hAnsi="宋体"/>
          <w:color w:val="auto"/>
          <w:sz w:val="21"/>
          <w:szCs w:val="21"/>
          <w:highlight w:val="none"/>
        </w:rPr>
        <w:t>2.3</w:t>
      </w:r>
      <w:r>
        <w:rPr>
          <w:rFonts w:hint="eastAsia" w:ascii="宋体" w:hAnsi="宋体"/>
          <w:color w:val="auto"/>
          <w:sz w:val="21"/>
          <w:szCs w:val="21"/>
          <w:highlight w:val="none"/>
        </w:rPr>
        <w:t>款对招标文件所作的澄清、修改，构成招标文件的组成部分。</w:t>
      </w:r>
    </w:p>
    <w:p>
      <w:pPr>
        <w:spacing w:line="360" w:lineRule="auto"/>
        <w:ind w:firstLine="236" w:firstLineChars="98"/>
        <w:rPr>
          <w:rFonts w:ascii="宋体" w:hAnsi="宋体"/>
          <w:b/>
          <w:color w:val="auto"/>
          <w:sz w:val="24"/>
          <w:szCs w:val="24"/>
          <w:highlight w:val="none"/>
        </w:rPr>
      </w:pPr>
      <w:bookmarkStart w:id="106" w:name="bookmark37"/>
      <w:bookmarkEnd w:id="106"/>
      <w:r>
        <w:rPr>
          <w:rFonts w:hint="eastAsia" w:ascii="宋体" w:hAnsi="宋体"/>
          <w:b/>
          <w:color w:val="auto"/>
          <w:sz w:val="24"/>
          <w:szCs w:val="24"/>
          <w:highlight w:val="none"/>
        </w:rPr>
        <w:t>2.2招标文件的澄清</w:t>
      </w:r>
    </w:p>
    <w:p>
      <w:pPr>
        <w:pStyle w:val="10"/>
        <w:numPr>
          <w:ilvl w:val="2"/>
          <w:numId w:val="15"/>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spacing w:line="360" w:lineRule="auto"/>
        <w:ind w:firstLine="236" w:firstLineChars="98"/>
        <w:rPr>
          <w:rFonts w:ascii="宋体" w:hAnsi="宋体"/>
          <w:b/>
          <w:color w:val="auto"/>
          <w:sz w:val="24"/>
          <w:szCs w:val="24"/>
          <w:highlight w:val="none"/>
        </w:rPr>
      </w:pPr>
      <w:bookmarkStart w:id="107" w:name="bookmark38"/>
      <w:bookmarkEnd w:id="107"/>
      <w:r>
        <w:rPr>
          <w:rFonts w:hint="eastAsia" w:ascii="宋体" w:hAnsi="宋体"/>
          <w:b/>
          <w:color w:val="auto"/>
          <w:sz w:val="24"/>
          <w:szCs w:val="24"/>
          <w:highlight w:val="none"/>
        </w:rPr>
        <w:t>2.3招标文件的修改</w:t>
      </w:r>
    </w:p>
    <w:p>
      <w:pPr>
        <w:pStyle w:val="10"/>
        <w:numPr>
          <w:ilvl w:val="2"/>
          <w:numId w:val="16"/>
        </w:numPr>
        <w:kinsoku w:val="0"/>
        <w:spacing w:before="0" w:beforeAutospacing="0" w:after="0" w:afterAutospacing="0" w:line="360" w:lineRule="auto"/>
        <w:ind w:left="0" w:firstLine="408" w:firstLineChars="200"/>
        <w:rPr>
          <w:rFonts w:hAnsi="宋体"/>
          <w:color w:val="auto"/>
          <w:sz w:val="21"/>
          <w:szCs w:val="21"/>
          <w:highlight w:val="none"/>
        </w:rPr>
      </w:pPr>
      <w:r>
        <w:rPr>
          <w:rFonts w:hint="eastAsia" w:ascii="宋体" w:hAnsi="宋体"/>
          <w:color w:val="auto"/>
          <w:spacing w:val="-3"/>
          <w:sz w:val="21"/>
          <w:szCs w:val="21"/>
          <w:highlight w:val="none"/>
        </w:rPr>
        <w:t>招标人以投标人须知前附表规定的形式修改招标文件，并通知所有潜在投标人。</w:t>
      </w:r>
      <w:r>
        <w:rPr>
          <w:rFonts w:hint="eastAsia" w:ascii="宋体" w:hAnsi="宋体"/>
          <w:color w:val="auto"/>
          <w:sz w:val="21"/>
          <w:szCs w:val="21"/>
          <w:highlight w:val="none"/>
        </w:rPr>
        <w:t>修改招标文件的时间距投标截止时间不足</w:t>
      </w:r>
      <w:r>
        <w:rPr>
          <w:rFonts w:hAnsi="宋体"/>
          <w:color w:val="auto"/>
          <w:sz w:val="21"/>
          <w:szCs w:val="21"/>
          <w:highlight w:val="none"/>
        </w:rPr>
        <w:t>7</w:t>
      </w:r>
      <w:r>
        <w:rPr>
          <w:rFonts w:hint="eastAsia" w:ascii="宋体" w:hAnsi="宋体"/>
          <w:color w:val="auto"/>
          <w:sz w:val="21"/>
          <w:szCs w:val="21"/>
          <w:highlight w:val="none"/>
        </w:rPr>
        <w:t>日的，相应延长投标截止时间。修改的内容可能影响投标文件编制的，招标人将在投标截止时间至少</w:t>
      </w:r>
      <w:r>
        <w:rPr>
          <w:rFonts w:hAnsi="宋体"/>
          <w:color w:val="auto"/>
          <w:sz w:val="21"/>
          <w:szCs w:val="21"/>
          <w:highlight w:val="none"/>
        </w:rPr>
        <w:t>15</w:t>
      </w:r>
      <w:r>
        <w:rPr>
          <w:rFonts w:hint="eastAsia" w:ascii="宋体" w:hAnsi="宋体"/>
          <w:color w:val="auto"/>
          <w:sz w:val="21"/>
          <w:szCs w:val="21"/>
          <w:highlight w:val="none"/>
        </w:rPr>
        <w:t>日前发布修改文件；不足</w:t>
      </w:r>
      <w:r>
        <w:rPr>
          <w:rFonts w:hAnsi="宋体"/>
          <w:color w:val="auto"/>
          <w:sz w:val="21"/>
          <w:szCs w:val="21"/>
          <w:highlight w:val="none"/>
        </w:rPr>
        <w:t>15</w:t>
      </w:r>
      <w:r>
        <w:rPr>
          <w:rFonts w:hint="eastAsia" w:ascii="宋体" w:hAnsi="宋体"/>
          <w:color w:val="auto"/>
          <w:sz w:val="21"/>
          <w:szCs w:val="21"/>
          <w:highlight w:val="none"/>
        </w:rPr>
        <w:t>日的，招标人应当顺延提交投标文件的截止时间。</w:t>
      </w:r>
    </w:p>
    <w:p>
      <w:pPr>
        <w:pStyle w:val="10"/>
        <w:numPr>
          <w:ilvl w:val="2"/>
          <w:numId w:val="16"/>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当招标文件的修改内容与招标文件相互矛盾时，以最后发出的补充文件为准。</w:t>
      </w:r>
    </w:p>
    <w:p>
      <w:pPr>
        <w:pStyle w:val="10"/>
        <w:kinsoku w:val="0"/>
        <w:spacing w:before="0" w:beforeAutospacing="0" w:after="0" w:afterAutospacing="0" w:line="360" w:lineRule="auto"/>
        <w:ind w:left="0"/>
        <w:rPr>
          <w:rFonts w:hAnsi="宋体"/>
          <w:color w:val="auto"/>
          <w:sz w:val="14"/>
          <w:szCs w:val="14"/>
          <w:highlight w:val="none"/>
        </w:rPr>
      </w:pPr>
      <w:r>
        <w:rPr>
          <w:rFonts w:hAnsi="宋体"/>
          <w:color w:val="auto"/>
          <w:sz w:val="14"/>
          <w:szCs w:val="14"/>
          <w:highlight w:val="none"/>
        </w:rPr>
        <w:tab/>
      </w:r>
    </w:p>
    <w:p>
      <w:pPr>
        <w:spacing w:line="360" w:lineRule="auto"/>
        <w:rPr>
          <w:rFonts w:ascii="宋体" w:hAnsi="宋体"/>
          <w:b/>
          <w:color w:val="auto"/>
          <w:sz w:val="24"/>
          <w:szCs w:val="24"/>
          <w:highlight w:val="none"/>
        </w:rPr>
      </w:pPr>
      <w:bookmarkStart w:id="108" w:name="_Toc45697234"/>
      <w:bookmarkEnd w:id="108"/>
      <w:bookmarkStart w:id="109" w:name="bookmark39"/>
      <w:bookmarkEnd w:id="109"/>
      <w:bookmarkStart w:id="110" w:name="bookmark40"/>
      <w:bookmarkEnd w:id="110"/>
      <w:bookmarkStart w:id="111" w:name="_Toc12864"/>
      <w:bookmarkEnd w:id="111"/>
      <w:bookmarkStart w:id="112" w:name="_Toc22828070"/>
      <w:r>
        <w:rPr>
          <w:rFonts w:hint="eastAsia" w:ascii="宋体" w:hAnsi="宋体"/>
          <w:b/>
          <w:color w:val="auto"/>
          <w:sz w:val="24"/>
          <w:szCs w:val="24"/>
          <w:highlight w:val="none"/>
        </w:rPr>
        <w:t>3.投标文件</w:t>
      </w:r>
      <w:bookmarkEnd w:id="112"/>
    </w:p>
    <w:p>
      <w:pPr>
        <w:spacing w:line="360" w:lineRule="auto"/>
        <w:ind w:firstLine="236" w:firstLineChars="98"/>
        <w:rPr>
          <w:rFonts w:ascii="宋体" w:hAnsi="宋体"/>
          <w:b/>
          <w:color w:val="auto"/>
          <w:sz w:val="24"/>
          <w:szCs w:val="24"/>
          <w:highlight w:val="none"/>
        </w:rPr>
      </w:pPr>
      <w:bookmarkStart w:id="113" w:name="bookmark41"/>
      <w:bookmarkEnd w:id="113"/>
      <w:r>
        <w:rPr>
          <w:rFonts w:hint="eastAsia" w:ascii="宋体" w:hAnsi="宋体"/>
          <w:b/>
          <w:color w:val="auto"/>
          <w:sz w:val="24"/>
          <w:szCs w:val="24"/>
          <w:highlight w:val="none"/>
        </w:rPr>
        <w:t>3.1投标文件的组成</w:t>
      </w:r>
    </w:p>
    <w:p>
      <w:pPr>
        <w:pStyle w:val="22"/>
        <w:snapToGrid w:val="0"/>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投标文件根据评标办法由投标文件商务标、技术标、资信标、资格审查资料组成。</w:t>
      </w:r>
      <w:r>
        <w:rPr>
          <w:rFonts w:hint="eastAsia" w:ascii="宋体" w:hAnsi="宋体"/>
          <w:bCs/>
          <w:color w:val="auto"/>
          <w:sz w:val="21"/>
          <w:szCs w:val="21"/>
          <w:highlight w:val="none"/>
          <w:u w:val="single"/>
        </w:rPr>
        <w:t>（招标人可将下列投标资料按相应的评标办法进行组合）</w:t>
      </w:r>
    </w:p>
    <w:p>
      <w:pPr>
        <w:pStyle w:val="22"/>
        <w:numPr>
          <w:ilvl w:val="0"/>
          <w:numId w:val="17"/>
        </w:numPr>
        <w:snapToGrid w:val="0"/>
        <w:spacing w:line="360" w:lineRule="auto"/>
        <w:ind w:left="480" w:leftChars="200"/>
        <w:rPr>
          <w:rFonts w:ascii="宋体" w:hAnsi="宋体"/>
          <w:b/>
          <w:color w:val="auto"/>
          <w:sz w:val="21"/>
          <w:szCs w:val="21"/>
          <w:highlight w:val="none"/>
        </w:rPr>
      </w:pPr>
      <w:r>
        <w:rPr>
          <w:rFonts w:hint="eastAsia" w:ascii="宋体" w:hAnsi="宋体"/>
          <w:b/>
          <w:color w:val="auto"/>
          <w:sz w:val="21"/>
          <w:szCs w:val="21"/>
          <w:highlight w:val="none"/>
        </w:rPr>
        <w:t>商务标</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1.商务标封面及目录</w:t>
      </w:r>
    </w:p>
    <w:p>
      <w:pPr>
        <w:autoSpaceDN/>
        <w:spacing w:line="360" w:lineRule="auto"/>
        <w:ind w:left="560"/>
        <w:jc w:val="both"/>
        <w:rPr>
          <w:rFonts w:ascii="宋体" w:hAnsi="宋体"/>
          <w:bCs/>
          <w:color w:val="auto"/>
          <w:sz w:val="21"/>
          <w:szCs w:val="21"/>
          <w:highlight w:val="none"/>
        </w:rPr>
      </w:pPr>
      <w:r>
        <w:rPr>
          <w:rFonts w:hint="eastAsia" w:ascii="宋体" w:hAnsi="宋体"/>
          <w:bCs/>
          <w:color w:val="auto"/>
          <w:sz w:val="21"/>
          <w:szCs w:val="21"/>
          <w:highlight w:val="none"/>
        </w:rPr>
        <w:t>2.投标函</w:t>
      </w:r>
    </w:p>
    <w:p>
      <w:pPr>
        <w:autoSpaceDN/>
        <w:spacing w:line="360" w:lineRule="auto"/>
        <w:ind w:left="560"/>
        <w:jc w:val="both"/>
        <w:rPr>
          <w:rFonts w:ascii="宋体" w:hAnsi="宋体"/>
          <w:bCs/>
          <w:color w:val="auto"/>
          <w:sz w:val="21"/>
          <w:szCs w:val="21"/>
          <w:highlight w:val="none"/>
        </w:rPr>
      </w:pPr>
      <w:r>
        <w:rPr>
          <w:rFonts w:hint="eastAsia" w:ascii="宋体" w:hAnsi="宋体"/>
          <w:bCs/>
          <w:color w:val="auto"/>
          <w:sz w:val="21"/>
          <w:szCs w:val="21"/>
          <w:highlight w:val="none"/>
        </w:rPr>
        <w:t>3.投标函附录</w:t>
      </w:r>
    </w:p>
    <w:p>
      <w:pPr>
        <w:autoSpaceDN/>
        <w:spacing w:line="360" w:lineRule="auto"/>
        <w:ind w:left="560"/>
        <w:jc w:val="both"/>
        <w:rPr>
          <w:rFonts w:ascii="宋体" w:hAnsi="宋体"/>
          <w:bCs/>
          <w:color w:val="auto"/>
          <w:sz w:val="21"/>
          <w:szCs w:val="21"/>
          <w:highlight w:val="none"/>
        </w:rPr>
      </w:pPr>
      <w:r>
        <w:rPr>
          <w:rFonts w:hint="eastAsia" w:ascii="宋体" w:hAnsi="宋体"/>
          <w:bCs/>
          <w:color w:val="auto"/>
          <w:sz w:val="21"/>
          <w:szCs w:val="21"/>
          <w:highlight w:val="none"/>
        </w:rPr>
        <w:t>4.投标报价（含已标明价格的工程量清单、投标总价封面、报价说明等）</w:t>
      </w:r>
    </w:p>
    <w:p>
      <w:pPr>
        <w:autoSpaceDN/>
        <w:spacing w:line="360" w:lineRule="auto"/>
        <w:ind w:left="560"/>
        <w:jc w:val="both"/>
        <w:rPr>
          <w:rFonts w:ascii="宋体" w:hAnsi="宋体"/>
          <w:bCs/>
          <w:color w:val="auto"/>
          <w:sz w:val="21"/>
          <w:szCs w:val="21"/>
          <w:highlight w:val="none"/>
        </w:rPr>
      </w:pPr>
      <w:r>
        <w:rPr>
          <w:rFonts w:hint="eastAsia" w:ascii="宋体" w:hAnsi="宋体"/>
          <w:bCs/>
          <w:color w:val="auto"/>
          <w:sz w:val="21"/>
          <w:szCs w:val="21"/>
          <w:highlight w:val="none"/>
        </w:rPr>
        <w:t>5.招标文件要求投标人提交的其它投标资料（商务）</w:t>
      </w:r>
      <w:r>
        <w:rPr>
          <w:rFonts w:hint="eastAsia" w:ascii="宋体" w:hAnsi="宋体"/>
          <w:color w:val="auto"/>
          <w:sz w:val="21"/>
          <w:szCs w:val="21"/>
          <w:highlight w:val="none"/>
        </w:rPr>
        <w:t>☑</w:t>
      </w:r>
      <w:r>
        <w:rPr>
          <w:rFonts w:hint="eastAsia" w:ascii="宋体" w:hAnsi="宋体" w:cs="宋体"/>
          <w:bCs/>
          <w:color w:val="auto"/>
          <w:sz w:val="21"/>
          <w:szCs w:val="21"/>
          <w:highlight w:val="none"/>
        </w:rPr>
        <w:t>:</w:t>
      </w:r>
    </w:p>
    <w:p>
      <w:pPr>
        <w:pStyle w:val="22"/>
        <w:snapToGrid w:val="0"/>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 xml:space="preserve"> 工程量清单及计价表式（投标时仅提供电子版本，中标单位在中标后7日内提供</w:t>
      </w:r>
      <w:r>
        <w:rPr>
          <w:rFonts w:hint="eastAsia" w:ascii="宋体" w:hAnsi="宋体"/>
          <w:b/>
          <w:color w:val="auto"/>
          <w:sz w:val="21"/>
          <w:szCs w:val="21"/>
          <w:highlight w:val="none"/>
          <w:u w:val="single"/>
        </w:rPr>
        <w:t>7套</w:t>
      </w:r>
      <w:r>
        <w:rPr>
          <w:rFonts w:hint="eastAsia" w:ascii="宋体" w:hAnsi="宋体"/>
          <w:bCs/>
          <w:color w:val="auto"/>
          <w:sz w:val="21"/>
          <w:szCs w:val="21"/>
          <w:highlight w:val="none"/>
        </w:rPr>
        <w:t>纸质文本）为：</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投标报价封面</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投标报价扉页</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编制说明</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投标报价费用表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单位（专业）工程投标报价费用表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分部分项工程和施工技术措施费项目清单与计价表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施工组织（总价）措施项目清单与计价表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其他项目清单与计价汇总表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暂列金额明细表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材料（工程设备）暂估单价及调整表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专业工程暂估价表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专项技术措施暂估价表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计日工表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总承包服务费计价表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主要工日一览表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主要材料和工程设备一览表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主要机械台班一览表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综合单价计算表</w:t>
      </w:r>
    </w:p>
    <w:p>
      <w:pPr>
        <w:pStyle w:val="22"/>
        <w:numPr>
          <w:ilvl w:val="0"/>
          <w:numId w:val="18"/>
        </w:numPr>
        <w:snapToGrid w:val="0"/>
        <w:spacing w:line="360" w:lineRule="auto"/>
        <w:ind w:left="0" w:firstLine="420" w:firstLineChars="200"/>
        <w:rPr>
          <w:rFonts w:ascii="宋体" w:hAnsi="宋体"/>
          <w:bCs/>
          <w:color w:val="auto"/>
          <w:sz w:val="21"/>
          <w:szCs w:val="21"/>
          <w:highlight w:val="none"/>
        </w:rPr>
      </w:pPr>
      <w:r>
        <w:rPr>
          <w:rFonts w:hint="eastAsia" w:ascii="宋体" w:hAnsi="宋体"/>
          <w:bCs/>
          <w:color w:val="auto"/>
          <w:sz w:val="21"/>
          <w:szCs w:val="21"/>
          <w:highlight w:val="none"/>
        </w:rPr>
        <w:t>综合单价工料机分析表</w:t>
      </w:r>
    </w:p>
    <w:p>
      <w:pPr>
        <w:snapToGrid w:val="0"/>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招标人根据拟建工程的构成、发包方式及报价要求，将在工程量清单编制总说明中明确投标人具体需填报的表格。</w:t>
      </w:r>
    </w:p>
    <w:p>
      <w:pPr>
        <w:pStyle w:val="22"/>
        <w:numPr>
          <w:ilvl w:val="0"/>
          <w:numId w:val="17"/>
        </w:numPr>
        <w:snapToGrid w:val="0"/>
        <w:spacing w:line="360" w:lineRule="auto"/>
        <w:ind w:left="480" w:leftChars="200"/>
        <w:rPr>
          <w:rFonts w:ascii="宋体" w:hAnsi="宋体"/>
          <w:b/>
          <w:color w:val="auto"/>
          <w:sz w:val="21"/>
          <w:szCs w:val="21"/>
          <w:highlight w:val="none"/>
        </w:rPr>
      </w:pPr>
      <w:r>
        <w:rPr>
          <w:rFonts w:hint="eastAsia" w:ascii="宋体" w:hAnsi="宋体"/>
          <w:b/>
          <w:color w:val="auto"/>
          <w:sz w:val="21"/>
          <w:szCs w:val="21"/>
          <w:highlight w:val="none"/>
        </w:rPr>
        <w:t>技术标</w:t>
      </w:r>
      <w:r>
        <w:rPr>
          <w:rFonts w:hint="eastAsia" w:ascii="宋体" w:hAnsi="宋体"/>
          <w:color w:val="auto"/>
          <w:sz w:val="21"/>
          <w:szCs w:val="21"/>
          <w:highlight w:val="none"/>
        </w:rPr>
        <w:t>☑</w:t>
      </w:r>
      <w:r>
        <w:rPr>
          <w:rFonts w:hint="eastAsia" w:ascii="宋体" w:hAnsi="宋体"/>
          <w:b/>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1.技术标封面及目录</w:t>
      </w:r>
      <w:r>
        <w:rPr>
          <w:rFonts w:hint="eastAsia" w:ascii="宋体" w:hAnsi="宋体"/>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2.施工组织设计</w:t>
      </w:r>
      <w:r>
        <w:rPr>
          <w:rFonts w:hint="eastAsia" w:ascii="宋体" w:hAnsi="宋体"/>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3.针对本工程招标人特殊要求的技术措施</w:t>
      </w:r>
      <w:r>
        <w:rPr>
          <w:rFonts w:hint="eastAsia" w:ascii="宋体" w:hAnsi="宋体"/>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4.项目管理班子配备情况</w:t>
      </w:r>
      <w:r>
        <w:rPr>
          <w:rFonts w:hint="eastAsia" w:ascii="宋体" w:hAnsi="宋体"/>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5.拟分包项目名称和分包商情况</w:t>
      </w:r>
      <w:r>
        <w:rPr>
          <w:rFonts w:hint="eastAsia" w:ascii="Wingdings 2" w:hAnsi="Wingdings 2"/>
          <w:color w:val="auto"/>
          <w:sz w:val="21"/>
          <w:szCs w:val="21"/>
          <w:highlight w:val="none"/>
        </w:rPr>
        <w:t>□</w:t>
      </w:r>
    </w:p>
    <w:p>
      <w:pPr>
        <w:autoSpaceDN/>
        <w:spacing w:line="360" w:lineRule="auto"/>
        <w:ind w:left="560"/>
        <w:rPr>
          <w:rFonts w:ascii="宋体" w:hAnsi="宋体"/>
          <w:b/>
          <w:color w:val="auto"/>
          <w:sz w:val="21"/>
          <w:szCs w:val="21"/>
          <w:highlight w:val="none"/>
          <w:u w:val="single"/>
        </w:rPr>
      </w:pPr>
      <w:r>
        <w:rPr>
          <w:rFonts w:hint="eastAsia" w:ascii="宋体" w:hAnsi="宋体"/>
          <w:bCs/>
          <w:color w:val="auto"/>
          <w:sz w:val="21"/>
          <w:szCs w:val="21"/>
          <w:highlight w:val="none"/>
        </w:rPr>
        <w:t>6.招标人要求提交的其他资料（技术）</w:t>
      </w:r>
      <w:r>
        <w:rPr>
          <w:rFonts w:hint="eastAsia" w:ascii="宋体" w:hAnsi="宋体"/>
          <w:color w:val="auto"/>
          <w:sz w:val="21"/>
          <w:szCs w:val="21"/>
          <w:highlight w:val="none"/>
        </w:rPr>
        <w:t>☑</w:t>
      </w:r>
      <w:r>
        <w:rPr>
          <w:rFonts w:hint="eastAsia" w:ascii="宋体" w:hAnsi="宋体"/>
          <w:bCs/>
          <w:color w:val="auto"/>
          <w:sz w:val="21"/>
          <w:szCs w:val="21"/>
          <w:highlight w:val="none"/>
        </w:rPr>
        <w:t>:</w:t>
      </w:r>
      <w:r>
        <w:rPr>
          <w:rFonts w:hint="eastAsia" w:ascii="宋体" w:hAnsi="宋体"/>
          <w:b/>
          <w:color w:val="auto"/>
          <w:sz w:val="21"/>
          <w:szCs w:val="21"/>
          <w:highlight w:val="none"/>
          <w:u w:val="single"/>
        </w:rPr>
        <w:t xml:space="preserve"> 根据技术标评分内容提供，格式自拟。</w:t>
      </w:r>
    </w:p>
    <w:p>
      <w:pPr>
        <w:autoSpaceDN/>
        <w:spacing w:line="360" w:lineRule="auto"/>
        <w:ind w:left="560"/>
        <w:rPr>
          <w:rFonts w:ascii="宋体" w:hAnsi="宋体"/>
          <w:b/>
          <w:color w:val="auto"/>
          <w:sz w:val="21"/>
          <w:szCs w:val="21"/>
          <w:highlight w:val="none"/>
        </w:rPr>
      </w:pPr>
      <w:r>
        <w:rPr>
          <w:rFonts w:hint="eastAsia" w:ascii="宋体" w:hAnsi="宋体"/>
          <w:b/>
          <w:color w:val="auto"/>
          <w:sz w:val="21"/>
          <w:szCs w:val="21"/>
          <w:highlight w:val="none"/>
        </w:rPr>
        <w:t>（三）资信（信用）标</w:t>
      </w:r>
      <w:r>
        <w:rPr>
          <w:rFonts w:hint="eastAsia" w:ascii="宋体" w:hAnsi="宋体"/>
          <w:color w:val="auto"/>
          <w:sz w:val="21"/>
          <w:szCs w:val="21"/>
          <w:highlight w:val="none"/>
        </w:rPr>
        <w:t>☑</w:t>
      </w:r>
      <w:r>
        <w:rPr>
          <w:rFonts w:hint="eastAsia" w:ascii="宋体" w:hAnsi="宋体"/>
          <w:b/>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1.资信（信用）标封面及目录</w:t>
      </w:r>
      <w:r>
        <w:rPr>
          <w:rFonts w:hint="eastAsia" w:ascii="宋体" w:hAnsi="宋体"/>
          <w:color w:val="auto"/>
          <w:sz w:val="21"/>
          <w:szCs w:val="21"/>
          <w:highlight w:val="none"/>
        </w:rPr>
        <w:t>☑</w:t>
      </w:r>
    </w:p>
    <w:p>
      <w:pPr>
        <w:autoSpaceDN/>
        <w:spacing w:line="360" w:lineRule="auto"/>
        <w:ind w:left="2344" w:leftChars="233" w:hanging="1785" w:hangingChars="850"/>
        <w:rPr>
          <w:rFonts w:ascii="宋体" w:hAnsi="宋体"/>
          <w:bCs/>
          <w:color w:val="auto"/>
          <w:sz w:val="21"/>
          <w:szCs w:val="21"/>
          <w:highlight w:val="none"/>
        </w:rPr>
      </w:pPr>
      <w:r>
        <w:rPr>
          <w:rFonts w:hint="eastAsia" w:ascii="宋体" w:hAnsi="宋体"/>
          <w:bCs/>
          <w:color w:val="auto"/>
          <w:sz w:val="21"/>
          <w:szCs w:val="21"/>
          <w:highlight w:val="none"/>
        </w:rPr>
        <w:t>2.投标人信用评价（</w:t>
      </w:r>
      <w:r>
        <w:rPr>
          <w:rFonts w:hint="eastAsia" w:ascii="宋体" w:hAnsi="宋体"/>
          <w:bCs/>
          <w:iCs/>
          <w:color w:val="auto"/>
          <w:sz w:val="21"/>
          <w:szCs w:val="21"/>
          <w:highlight w:val="none"/>
        </w:rPr>
        <w:t>投标截止之日绍兴建筑信用监管平台上最近一期公布的</w:t>
      </w:r>
      <w:r>
        <w:rPr>
          <w:rFonts w:hint="eastAsia" w:ascii="宋体" w:hAnsi="宋体"/>
          <w:bCs/>
          <w:iCs/>
          <w:color w:val="auto"/>
          <w:sz w:val="21"/>
          <w:szCs w:val="21"/>
          <w:highlight w:val="none"/>
          <w:u w:val="single"/>
        </w:rPr>
        <w:t xml:space="preserve">   （建筑工程专业）</w:t>
      </w:r>
      <w:r>
        <w:rPr>
          <w:rFonts w:hint="eastAsia" w:ascii="宋体" w:hAnsi="宋体"/>
          <w:bCs/>
          <w:iCs/>
          <w:color w:val="auto"/>
          <w:sz w:val="21"/>
          <w:szCs w:val="21"/>
          <w:highlight w:val="none"/>
        </w:rPr>
        <w:t>的施工总承包企业信用评价</w:t>
      </w:r>
      <w:r>
        <w:rPr>
          <w:rFonts w:hint="eastAsia" w:ascii="宋体" w:hAnsi="宋体"/>
          <w:bCs/>
          <w:color w:val="auto"/>
          <w:sz w:val="21"/>
          <w:szCs w:val="21"/>
          <w:highlight w:val="none"/>
        </w:rPr>
        <w:t>）</w:t>
      </w:r>
      <w:r>
        <w:rPr>
          <w:rFonts w:hint="eastAsia" w:ascii="宋体" w:hAnsi="宋体"/>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3.近年财务状况表（表1）</w:t>
      </w:r>
      <w:r>
        <w:rPr>
          <w:rFonts w:hint="eastAsia" w:ascii="Wingdings 2" w:hAnsi="Wingdings 2"/>
          <w:color w:val="auto"/>
          <w:sz w:val="21"/>
          <w:szCs w:val="21"/>
          <w:highlight w:val="none"/>
        </w:rPr>
        <w:t>☑</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4.业绩汇总表（表2）（附相关业绩的证明材料，且需要准确详细列入）</w:t>
      </w:r>
      <w:r>
        <w:rPr>
          <w:rFonts w:hint="eastAsia" w:ascii="宋体" w:hAnsi="宋体"/>
          <w:color w:val="auto"/>
          <w:sz w:val="21"/>
          <w:szCs w:val="21"/>
          <w:highlight w:val="none"/>
        </w:rPr>
        <w:t>☑</w:t>
      </w:r>
    </w:p>
    <w:p>
      <w:pPr>
        <w:autoSpaceDN/>
        <w:spacing w:line="360" w:lineRule="auto"/>
        <w:ind w:left="560"/>
        <w:rPr>
          <w:rFonts w:ascii="宋体" w:hAnsi="宋体"/>
          <w:bCs/>
          <w:color w:val="auto"/>
          <w:sz w:val="21"/>
          <w:szCs w:val="21"/>
          <w:highlight w:val="none"/>
          <w:u w:val="single"/>
        </w:rPr>
      </w:pPr>
      <w:r>
        <w:rPr>
          <w:rFonts w:hint="eastAsia" w:ascii="宋体" w:hAnsi="宋体"/>
          <w:bCs/>
          <w:color w:val="auto"/>
          <w:sz w:val="21"/>
          <w:szCs w:val="21"/>
          <w:highlight w:val="none"/>
        </w:rPr>
        <w:t>5.招标人要求提交的其他资料（资信）</w:t>
      </w:r>
      <w:r>
        <w:rPr>
          <w:rFonts w:hint="eastAsia" w:ascii="宋体" w:hAnsi="宋体"/>
          <w:color w:val="auto"/>
          <w:sz w:val="21"/>
          <w:szCs w:val="21"/>
          <w:highlight w:val="none"/>
        </w:rPr>
        <w:t>☑</w:t>
      </w:r>
      <w:r>
        <w:rPr>
          <w:rFonts w:hint="eastAsia" w:ascii="宋体" w:hAnsi="宋体"/>
          <w:b/>
          <w:color w:val="auto"/>
          <w:sz w:val="21"/>
          <w:szCs w:val="21"/>
          <w:highlight w:val="none"/>
          <w:u w:val="single"/>
        </w:rPr>
        <w:t>: 根据资信（信用）标评分内容提供，格式自拟。</w:t>
      </w:r>
    </w:p>
    <w:p>
      <w:pPr>
        <w:autoSpaceDN/>
        <w:spacing w:line="360" w:lineRule="auto"/>
        <w:ind w:left="240" w:leftChars="100" w:firstLine="139" w:firstLineChars="66"/>
        <w:rPr>
          <w:rFonts w:ascii="宋体" w:hAnsi="宋体"/>
          <w:b/>
          <w:color w:val="auto"/>
          <w:sz w:val="21"/>
          <w:szCs w:val="21"/>
          <w:highlight w:val="none"/>
        </w:rPr>
      </w:pPr>
      <w:r>
        <w:rPr>
          <w:rFonts w:hint="eastAsia" w:ascii="宋体" w:hAnsi="宋体"/>
          <w:b/>
          <w:color w:val="auto"/>
          <w:sz w:val="21"/>
          <w:szCs w:val="21"/>
          <w:highlight w:val="none"/>
        </w:rPr>
        <w:t>（四）资格审查资料：</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1.资格审查资料封面及目录</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2.投标人基本情况（表1） （如联合体投标的，联合体成员均需提供）</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3.投标承诺书（如联合体投标的，由联合体牵头人提供）</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4.法定代表人身份证明书书（如联合体投标的，由联合体牵头人提供）</w:t>
      </w:r>
    </w:p>
    <w:p>
      <w:pPr>
        <w:autoSpaceDN/>
        <w:spacing w:line="360" w:lineRule="auto"/>
        <w:ind w:left="560"/>
        <w:jc w:val="both"/>
        <w:rPr>
          <w:rFonts w:ascii="宋体" w:hAnsi="宋体"/>
          <w:bCs/>
          <w:color w:val="auto"/>
          <w:sz w:val="21"/>
          <w:szCs w:val="21"/>
          <w:highlight w:val="none"/>
        </w:rPr>
      </w:pPr>
      <w:r>
        <w:rPr>
          <w:rFonts w:hint="eastAsia" w:ascii="宋体" w:hAnsi="宋体"/>
          <w:bCs/>
          <w:color w:val="auto"/>
          <w:sz w:val="21"/>
          <w:szCs w:val="21"/>
          <w:highlight w:val="none"/>
        </w:rPr>
        <w:t>5.授权委托书（若有）（仅投标人代表为委托代理人的需提供，如联合体投标的，授权委托人需由联合体牵头人授权，由联合体牵头人提供）</w:t>
      </w:r>
    </w:p>
    <w:p>
      <w:pPr>
        <w:autoSpaceDN/>
        <w:spacing w:line="360" w:lineRule="auto"/>
        <w:ind w:left="3079" w:leftChars="233" w:hanging="2520" w:hangingChars="1200"/>
        <w:rPr>
          <w:rFonts w:ascii="宋体" w:hAnsi="宋体"/>
          <w:bCs/>
          <w:color w:val="auto"/>
          <w:sz w:val="21"/>
          <w:szCs w:val="21"/>
          <w:highlight w:val="none"/>
        </w:rPr>
      </w:pPr>
      <w:r>
        <w:rPr>
          <w:rFonts w:hint="eastAsia" w:ascii="宋体" w:hAnsi="宋体"/>
          <w:bCs/>
          <w:color w:val="auto"/>
          <w:sz w:val="21"/>
          <w:szCs w:val="21"/>
          <w:highlight w:val="none"/>
        </w:rPr>
        <w:t>6.资格业绩材料（若有）</w:t>
      </w:r>
      <w:r>
        <w:rPr>
          <w:rFonts w:hint="eastAsia" w:ascii="宋体" w:hAnsi="宋体"/>
          <w:color w:val="auto"/>
          <w:sz w:val="21"/>
          <w:szCs w:val="21"/>
          <w:highlight w:val="none"/>
        </w:rPr>
        <w:t>☑</w:t>
      </w:r>
      <w:r>
        <w:rPr>
          <w:rFonts w:hint="eastAsia" w:ascii="宋体" w:hAnsi="宋体"/>
          <w:bCs/>
          <w:color w:val="auto"/>
          <w:sz w:val="21"/>
          <w:szCs w:val="21"/>
          <w:highlight w:val="none"/>
        </w:rPr>
        <w:t>：含业绩汇总表（资格后审业绩条件的汇总）及相关附件；</w:t>
      </w:r>
    </w:p>
    <w:p>
      <w:pPr>
        <w:autoSpaceDN/>
        <w:spacing w:line="360" w:lineRule="auto"/>
        <w:ind w:left="560"/>
        <w:rPr>
          <w:rFonts w:ascii="宋体" w:hAnsi="宋体"/>
          <w:bCs/>
          <w:color w:val="auto"/>
          <w:sz w:val="21"/>
          <w:szCs w:val="21"/>
          <w:highlight w:val="none"/>
        </w:rPr>
      </w:pPr>
      <w:r>
        <w:rPr>
          <w:rFonts w:hint="eastAsia" w:ascii="宋体" w:hAnsi="宋体"/>
          <w:bCs/>
          <w:color w:val="auto"/>
          <w:sz w:val="21"/>
          <w:szCs w:val="21"/>
          <w:highlight w:val="none"/>
        </w:rPr>
        <w:t>7.联合体协议书(若有)；</w:t>
      </w:r>
    </w:p>
    <w:p>
      <w:pPr>
        <w:autoSpaceDN/>
        <w:spacing w:line="360" w:lineRule="auto"/>
        <w:ind w:left="560"/>
        <w:rPr>
          <w:rFonts w:hint="eastAsia" w:ascii="宋体" w:hAnsi="宋体"/>
          <w:bCs/>
          <w:color w:val="auto"/>
          <w:sz w:val="21"/>
          <w:szCs w:val="21"/>
          <w:highlight w:val="none"/>
        </w:rPr>
      </w:pPr>
      <w:r>
        <w:rPr>
          <w:rFonts w:hint="eastAsia" w:ascii="宋体" w:hAnsi="宋体"/>
          <w:bCs/>
          <w:color w:val="auto"/>
          <w:sz w:val="21"/>
          <w:szCs w:val="21"/>
          <w:highlight w:val="none"/>
        </w:rPr>
        <w:t>8.投标保证金；</w:t>
      </w:r>
    </w:p>
    <w:p>
      <w:pPr>
        <w:autoSpaceDN/>
        <w:spacing w:line="360" w:lineRule="auto"/>
        <w:ind w:left="560"/>
        <w:rPr>
          <w:rFonts w:ascii="宋体" w:hAnsi="宋体"/>
          <w:b/>
          <w:color w:val="auto"/>
          <w:sz w:val="21"/>
          <w:szCs w:val="21"/>
          <w:highlight w:val="none"/>
          <w:u w:val="single"/>
        </w:rPr>
      </w:pPr>
      <w:r>
        <w:rPr>
          <w:rFonts w:hint="eastAsia" w:ascii="宋体" w:hAnsi="宋体"/>
          <w:bCs/>
          <w:color w:val="auto"/>
          <w:sz w:val="21"/>
          <w:szCs w:val="21"/>
          <w:highlight w:val="none"/>
        </w:rPr>
        <w:t>9.招标文件要求投标人提交的其他资料（资格审查）</w:t>
      </w:r>
      <w:r>
        <w:rPr>
          <w:rFonts w:hint="eastAsia" w:ascii="宋体" w:hAnsi="宋体"/>
          <w:color w:val="auto"/>
          <w:sz w:val="21"/>
          <w:szCs w:val="21"/>
          <w:highlight w:val="none"/>
        </w:rPr>
        <w:t>☑</w:t>
      </w:r>
      <w:r>
        <w:rPr>
          <w:rFonts w:hint="eastAsia" w:ascii="宋体" w:hAnsi="宋体"/>
          <w:bCs/>
          <w:color w:val="auto"/>
          <w:sz w:val="21"/>
          <w:szCs w:val="21"/>
          <w:highlight w:val="none"/>
        </w:rPr>
        <w:t>：</w:t>
      </w:r>
      <w:r>
        <w:rPr>
          <w:rFonts w:hint="eastAsia" w:ascii="宋体" w:hAnsi="宋体"/>
          <w:b/>
          <w:color w:val="auto"/>
          <w:sz w:val="21"/>
          <w:szCs w:val="21"/>
          <w:highlight w:val="none"/>
          <w:u w:val="single"/>
        </w:rPr>
        <w:t>根据投标人须知前附表3.5资格审查资料要求的</w:t>
      </w:r>
      <w:r>
        <w:rPr>
          <w:rFonts w:hint="eastAsia" w:ascii="宋体" w:hAnsi="宋体"/>
          <w:b/>
          <w:color w:val="auto"/>
          <w:sz w:val="21"/>
          <w:szCs w:val="21"/>
          <w:highlight w:val="none"/>
          <w:u w:val="single"/>
          <w:lang w:val="en-US" w:eastAsia="zh-CN"/>
        </w:rPr>
        <w:t>其他</w:t>
      </w:r>
      <w:r>
        <w:rPr>
          <w:rFonts w:hint="eastAsia" w:ascii="宋体" w:hAnsi="宋体"/>
          <w:b/>
          <w:color w:val="auto"/>
          <w:sz w:val="21"/>
          <w:szCs w:val="21"/>
          <w:highlight w:val="none"/>
          <w:u w:val="single"/>
        </w:rPr>
        <w:t>资料。</w:t>
      </w:r>
    </w:p>
    <w:p>
      <w:pPr>
        <w:pStyle w:val="28"/>
        <w:shd w:val="clear" w:color="auto" w:fill="FFFFFF"/>
        <w:kinsoku w:val="0"/>
        <w:snapToGrid w:val="0"/>
        <w:spacing w:line="360" w:lineRule="auto"/>
        <w:ind w:firstLine="482"/>
        <w:jc w:val="both"/>
        <w:rPr>
          <w:b/>
          <w:color w:val="auto"/>
          <w:sz w:val="21"/>
          <w:szCs w:val="21"/>
          <w:highlight w:val="none"/>
        </w:rPr>
      </w:pPr>
      <w:r>
        <w:rPr>
          <w:rFonts w:hint="eastAsia"/>
          <w:b/>
          <w:color w:val="auto"/>
          <w:sz w:val="21"/>
          <w:szCs w:val="21"/>
          <w:highlight w:val="none"/>
        </w:rPr>
        <w:t>特别说明：投标人须知前附表3.5“资格审查资料”2、3、4要求提供的各类资料附在法定代表人身份证明书后集中编制。</w:t>
      </w:r>
    </w:p>
    <w:p>
      <w:pPr>
        <w:spacing w:line="360" w:lineRule="auto"/>
        <w:ind w:firstLine="236" w:firstLineChars="98"/>
        <w:rPr>
          <w:rFonts w:ascii="宋体" w:hAnsi="宋体"/>
          <w:b/>
          <w:color w:val="auto"/>
          <w:sz w:val="24"/>
          <w:szCs w:val="24"/>
          <w:highlight w:val="none"/>
        </w:rPr>
      </w:pPr>
      <w:bookmarkStart w:id="114" w:name="bookmark42"/>
      <w:bookmarkEnd w:id="114"/>
      <w:r>
        <w:rPr>
          <w:rFonts w:hint="eastAsia" w:ascii="宋体" w:hAnsi="宋体"/>
          <w:b/>
          <w:color w:val="auto"/>
          <w:sz w:val="24"/>
          <w:szCs w:val="24"/>
          <w:highlight w:val="none"/>
        </w:rPr>
        <w:t>3.2投标报价</w:t>
      </w:r>
    </w:p>
    <w:p>
      <w:pPr>
        <w:pStyle w:val="10"/>
        <w:numPr>
          <w:ilvl w:val="2"/>
          <w:numId w:val="19"/>
        </w:numPr>
        <w:kinsoku w:val="0"/>
        <w:spacing w:before="0" w:beforeAutospacing="0" w:after="0" w:afterAutospacing="0" w:line="360" w:lineRule="auto"/>
        <w:ind w:left="0" w:firstLine="420" w:firstLineChars="200"/>
        <w:rPr>
          <w:rFonts w:hAnsi="宋体" w:cs="Arial"/>
          <w:color w:val="auto"/>
          <w:sz w:val="21"/>
          <w:szCs w:val="21"/>
          <w:highlight w:val="none"/>
        </w:rPr>
      </w:pPr>
      <w:r>
        <w:rPr>
          <w:rFonts w:ascii="宋体" w:hAnsi="宋体" w:cs="Arial"/>
          <w:color w:val="auto"/>
          <w:sz w:val="21"/>
          <w:szCs w:val="21"/>
          <w:highlight w:val="none"/>
        </w:rPr>
        <w:t>投标人应按照第八章</w:t>
      </w:r>
      <w:r>
        <w:rPr>
          <w:rFonts w:hAnsi="宋体" w:cs="Arial"/>
          <w:color w:val="auto"/>
          <w:sz w:val="21"/>
          <w:szCs w:val="21"/>
          <w:highlight w:val="none"/>
        </w:rPr>
        <w:t>“投标文件格式”的要求填写投标报价。</w:t>
      </w:r>
    </w:p>
    <w:p>
      <w:pPr>
        <w:pStyle w:val="10"/>
        <w:numPr>
          <w:ilvl w:val="2"/>
          <w:numId w:val="19"/>
        </w:numPr>
        <w:kinsoku w:val="0"/>
        <w:spacing w:before="0" w:beforeAutospacing="0" w:after="0" w:afterAutospacing="0" w:line="360" w:lineRule="auto"/>
        <w:ind w:left="0" w:firstLine="420" w:firstLineChars="200"/>
        <w:rPr>
          <w:rFonts w:hAnsi="宋体" w:cs="Arial"/>
          <w:color w:val="auto"/>
          <w:sz w:val="21"/>
          <w:szCs w:val="21"/>
          <w:highlight w:val="none"/>
        </w:rPr>
      </w:pPr>
      <w:r>
        <w:rPr>
          <w:rFonts w:ascii="宋体" w:hAnsi="宋体" w:cs="Arial"/>
          <w:color w:val="auto"/>
          <w:sz w:val="21"/>
          <w:szCs w:val="21"/>
          <w:highlight w:val="none"/>
        </w:rPr>
        <w:t>投标人在投标截止时间前修改投标函中的投标报价总额，应同时修改投标文件</w:t>
      </w:r>
      <w:r>
        <w:rPr>
          <w:rFonts w:hAnsi="宋体" w:cs="Arial"/>
          <w:color w:val="auto"/>
          <w:sz w:val="21"/>
          <w:szCs w:val="21"/>
          <w:highlight w:val="none"/>
        </w:rPr>
        <w:t>“投标报价”中的相应报价，投标报价总额为各分项金额之和。此修改须符合本章</w:t>
      </w:r>
      <w:r>
        <w:rPr>
          <w:rFonts w:hint="eastAsia" w:ascii="宋体" w:hAnsi="宋体" w:cs="Arial"/>
          <w:color w:val="auto"/>
          <w:sz w:val="21"/>
          <w:szCs w:val="21"/>
          <w:highlight w:val="none"/>
        </w:rPr>
        <w:t>第4.3款</w:t>
      </w:r>
      <w:r>
        <w:rPr>
          <w:rFonts w:ascii="宋体" w:hAnsi="宋体" w:cs="Arial"/>
          <w:color w:val="auto"/>
          <w:sz w:val="21"/>
          <w:szCs w:val="21"/>
          <w:highlight w:val="none"/>
        </w:rPr>
        <w:t>的有关要求。</w:t>
      </w:r>
    </w:p>
    <w:p>
      <w:pPr>
        <w:pStyle w:val="10"/>
        <w:numPr>
          <w:ilvl w:val="2"/>
          <w:numId w:val="19"/>
        </w:numPr>
        <w:kinsoku w:val="0"/>
        <w:spacing w:before="0" w:beforeAutospacing="0" w:after="0" w:afterAutospacing="0" w:line="360" w:lineRule="auto"/>
        <w:ind w:left="0" w:firstLine="420" w:firstLineChars="200"/>
        <w:rPr>
          <w:rFonts w:hAnsi="宋体" w:cs="Arial"/>
          <w:color w:val="auto"/>
          <w:sz w:val="21"/>
          <w:szCs w:val="21"/>
          <w:highlight w:val="none"/>
        </w:rPr>
      </w:pPr>
      <w:r>
        <w:rPr>
          <w:rFonts w:ascii="宋体" w:hAnsi="宋体" w:cs="Arial"/>
          <w:color w:val="auto"/>
          <w:sz w:val="21"/>
          <w:szCs w:val="21"/>
          <w:highlight w:val="none"/>
        </w:rPr>
        <w:t>工程量清单计价方式：见投标人须知前附表，投标人应按第</w:t>
      </w:r>
      <w:r>
        <w:rPr>
          <w:rFonts w:hint="eastAsia" w:ascii="宋体" w:hAnsi="宋体" w:cs="Arial"/>
          <w:color w:val="auto"/>
          <w:sz w:val="21"/>
          <w:szCs w:val="21"/>
          <w:highlight w:val="none"/>
        </w:rPr>
        <w:t>五</w:t>
      </w:r>
      <w:r>
        <w:rPr>
          <w:rFonts w:ascii="宋体" w:hAnsi="宋体" w:cs="Arial"/>
          <w:color w:val="auto"/>
          <w:sz w:val="21"/>
          <w:szCs w:val="21"/>
          <w:highlight w:val="none"/>
        </w:rPr>
        <w:t>章</w:t>
      </w:r>
      <w:r>
        <w:rPr>
          <w:rFonts w:hAnsi="宋体" w:cs="Arial"/>
          <w:color w:val="auto"/>
          <w:sz w:val="21"/>
          <w:szCs w:val="21"/>
          <w:highlight w:val="none"/>
        </w:rPr>
        <w:t>“工程量清单编制”的要求填写相应表格，具体表式按招标文件第八章“投标文件格式”提供并报价</w:t>
      </w:r>
      <w:r>
        <w:rPr>
          <w:rFonts w:hint="eastAsia" w:ascii="宋体" w:hAnsi="宋体" w:cs="Arial"/>
          <w:color w:val="auto"/>
          <w:sz w:val="21"/>
          <w:szCs w:val="21"/>
          <w:highlight w:val="none"/>
        </w:rPr>
        <w:t>。</w:t>
      </w:r>
    </w:p>
    <w:p>
      <w:pPr>
        <w:pStyle w:val="10"/>
        <w:numPr>
          <w:ilvl w:val="2"/>
          <w:numId w:val="19"/>
        </w:numPr>
        <w:kinsoku w:val="0"/>
        <w:spacing w:before="0" w:beforeAutospacing="0" w:after="0" w:afterAutospacing="0" w:line="360" w:lineRule="auto"/>
        <w:ind w:left="0" w:firstLine="420" w:firstLineChars="200"/>
        <w:rPr>
          <w:rFonts w:hAnsi="宋体" w:cs="Arial"/>
          <w:color w:val="auto"/>
          <w:sz w:val="21"/>
          <w:szCs w:val="21"/>
          <w:highlight w:val="none"/>
        </w:rPr>
      </w:pPr>
      <w:r>
        <w:rPr>
          <w:rFonts w:hint="eastAsia" w:ascii="宋体" w:hAnsi="宋体" w:cs="Arial"/>
          <w:color w:val="auto"/>
          <w:sz w:val="21"/>
          <w:szCs w:val="21"/>
          <w:highlight w:val="none"/>
        </w:rPr>
        <w:t>招标人设有最高投标限价的，投标人的投标报价不得超过最高投标限价，最高投标限价或其计算方法在投标人须知前附表中载明。</w:t>
      </w:r>
    </w:p>
    <w:p>
      <w:pPr>
        <w:pStyle w:val="10"/>
        <w:numPr>
          <w:ilvl w:val="2"/>
          <w:numId w:val="19"/>
        </w:numPr>
        <w:kinsoku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s="Arial"/>
          <w:color w:val="auto"/>
          <w:sz w:val="21"/>
          <w:szCs w:val="21"/>
          <w:highlight w:val="none"/>
        </w:rPr>
        <w:t>投标报价的其他要求见投标人须知前附表。</w:t>
      </w:r>
    </w:p>
    <w:p>
      <w:pPr>
        <w:spacing w:line="360" w:lineRule="auto"/>
        <w:ind w:firstLine="236" w:firstLineChars="98"/>
        <w:rPr>
          <w:rFonts w:ascii="宋体" w:hAnsi="宋体"/>
          <w:b/>
          <w:color w:val="auto"/>
          <w:sz w:val="24"/>
          <w:szCs w:val="24"/>
          <w:highlight w:val="none"/>
        </w:rPr>
      </w:pPr>
      <w:bookmarkStart w:id="115" w:name="bookmark43"/>
      <w:bookmarkEnd w:id="115"/>
      <w:r>
        <w:rPr>
          <w:rFonts w:hint="eastAsia" w:ascii="宋体" w:hAnsi="宋体"/>
          <w:b/>
          <w:color w:val="auto"/>
          <w:sz w:val="24"/>
          <w:szCs w:val="24"/>
          <w:highlight w:val="none"/>
        </w:rPr>
        <w:t>3.3投标有效期</w:t>
      </w:r>
    </w:p>
    <w:p>
      <w:pPr>
        <w:pStyle w:val="10"/>
        <w:numPr>
          <w:ilvl w:val="2"/>
          <w:numId w:val="20"/>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在投标人须知前附表规定的投标有效期内，投标人不得要求撤销或修改其投标文件。</w:t>
      </w:r>
    </w:p>
    <w:p>
      <w:pPr>
        <w:pStyle w:val="10"/>
        <w:numPr>
          <w:ilvl w:val="2"/>
          <w:numId w:val="20"/>
        </w:numPr>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在投标有效期内，投标人撤销投标文件的，应承担招标文件和法律规定的责任。</w:t>
      </w:r>
    </w:p>
    <w:p>
      <w:pPr>
        <w:pStyle w:val="10"/>
        <w:numPr>
          <w:ilvl w:val="2"/>
          <w:numId w:val="20"/>
        </w:numPr>
        <w:kinsoku w:val="0"/>
        <w:snapToGrid w:val="0"/>
        <w:spacing w:before="0" w:beforeAutospacing="0" w:after="0" w:afterAutospacing="0" w:line="360" w:lineRule="auto"/>
        <w:ind w:left="0" w:firstLine="420" w:firstLineChars="200"/>
        <w:rPr>
          <w:rFonts w:hAnsi="宋体"/>
          <w:color w:val="auto"/>
          <w:highlight w:val="none"/>
        </w:rPr>
      </w:pPr>
      <w:r>
        <w:rPr>
          <w:rFonts w:hint="eastAsia" w:ascii="宋体" w:hAnsi="宋体"/>
          <w:color w:val="auto"/>
          <w:sz w:val="21"/>
          <w:szCs w:val="21"/>
          <w:highlight w:val="none"/>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spacing w:line="360" w:lineRule="auto"/>
        <w:ind w:firstLine="236" w:firstLineChars="98"/>
        <w:rPr>
          <w:rFonts w:ascii="宋体" w:hAnsi="宋体"/>
          <w:b/>
          <w:color w:val="auto"/>
          <w:sz w:val="24"/>
          <w:szCs w:val="24"/>
          <w:highlight w:val="none"/>
        </w:rPr>
      </w:pPr>
      <w:bookmarkStart w:id="116" w:name="bookmark44"/>
      <w:bookmarkEnd w:id="116"/>
      <w:r>
        <w:rPr>
          <w:rFonts w:hint="eastAsia" w:ascii="宋体" w:hAnsi="宋体"/>
          <w:b/>
          <w:color w:val="auto"/>
          <w:sz w:val="24"/>
          <w:szCs w:val="24"/>
          <w:highlight w:val="none"/>
        </w:rPr>
        <w:t>3.4投标保证金</w:t>
      </w:r>
    </w:p>
    <w:p>
      <w:pPr>
        <w:pStyle w:val="10"/>
        <w:numPr>
          <w:ilvl w:val="2"/>
          <w:numId w:val="21"/>
        </w:numPr>
        <w:kinsoku w:val="0"/>
        <w:snapToGrid w:val="0"/>
        <w:spacing w:before="0" w:beforeAutospacing="0" w:after="0" w:afterAutospacing="0" w:line="360" w:lineRule="auto"/>
        <w:ind w:left="0" w:firstLine="396" w:firstLineChars="200"/>
        <w:jc w:val="both"/>
        <w:rPr>
          <w:rFonts w:hAnsi="宋体"/>
          <w:color w:val="auto"/>
          <w:sz w:val="21"/>
          <w:szCs w:val="21"/>
          <w:highlight w:val="none"/>
        </w:rPr>
      </w:pPr>
      <w:r>
        <w:rPr>
          <w:rFonts w:hint="eastAsia" w:ascii="宋体" w:hAnsi="宋体"/>
          <w:color w:val="auto"/>
          <w:spacing w:val="-6"/>
          <w:sz w:val="21"/>
          <w:szCs w:val="21"/>
          <w:highlight w:val="none"/>
        </w:rPr>
        <w:t>投标人在递交投标文件的同时，应按投标人须知前附</w:t>
      </w:r>
      <w:r>
        <w:rPr>
          <w:rFonts w:hint="eastAsia" w:ascii="宋体" w:hAnsi="宋体"/>
          <w:color w:val="auto"/>
          <w:sz w:val="21"/>
          <w:szCs w:val="21"/>
          <w:highlight w:val="none"/>
        </w:rPr>
        <w:t>要求</w:t>
      </w:r>
      <w:r>
        <w:rPr>
          <w:rFonts w:hint="eastAsia" w:ascii="宋体" w:hAnsi="宋体"/>
          <w:color w:val="auto"/>
          <w:spacing w:val="-3"/>
          <w:sz w:val="21"/>
          <w:szCs w:val="21"/>
          <w:highlight w:val="none"/>
        </w:rPr>
        <w:t>递交投标保证金，并作为其投标文件的组成部分。</w:t>
      </w:r>
      <w:r>
        <w:rPr>
          <w:rFonts w:hint="eastAsia" w:ascii="宋体" w:hAnsi="宋体"/>
          <w:color w:val="auto"/>
          <w:spacing w:val="-1"/>
          <w:sz w:val="21"/>
          <w:szCs w:val="21"/>
          <w:highlight w:val="none"/>
        </w:rPr>
        <w:t>联合体投标的由联合体牵头人递交投标保证金，并应符合投标人须知前附表的</w:t>
      </w:r>
      <w:r>
        <w:rPr>
          <w:rFonts w:hint="eastAsia" w:ascii="宋体" w:hAnsi="宋体"/>
          <w:color w:val="auto"/>
          <w:sz w:val="21"/>
          <w:szCs w:val="21"/>
          <w:highlight w:val="none"/>
        </w:rPr>
        <w:t>规定。</w:t>
      </w:r>
    </w:p>
    <w:p>
      <w:pPr>
        <w:pStyle w:val="10"/>
        <w:numPr>
          <w:ilvl w:val="2"/>
          <w:numId w:val="21"/>
        </w:numPr>
        <w:kinsoku w:val="0"/>
        <w:snapToGrid w:val="0"/>
        <w:spacing w:before="0" w:beforeAutospacing="0" w:after="0" w:afterAutospacing="0" w:line="360" w:lineRule="auto"/>
        <w:ind w:left="0" w:firstLine="420" w:firstLineChars="200"/>
        <w:jc w:val="both"/>
        <w:rPr>
          <w:rFonts w:hAnsi="宋体"/>
          <w:color w:val="auto"/>
          <w:sz w:val="21"/>
          <w:szCs w:val="21"/>
          <w:highlight w:val="none"/>
        </w:rPr>
      </w:pPr>
      <w:r>
        <w:rPr>
          <w:rFonts w:hint="eastAsia" w:ascii="宋体" w:hAnsi="宋体"/>
          <w:color w:val="auto"/>
          <w:sz w:val="21"/>
          <w:szCs w:val="21"/>
          <w:highlight w:val="none"/>
        </w:rPr>
        <w:t>投标人不按本章第</w:t>
      </w:r>
      <w:r>
        <w:rPr>
          <w:rFonts w:hAnsi="宋体"/>
          <w:color w:val="auto"/>
          <w:sz w:val="21"/>
          <w:szCs w:val="21"/>
          <w:highlight w:val="none"/>
        </w:rPr>
        <w:t>3.4.1</w:t>
      </w:r>
      <w:r>
        <w:rPr>
          <w:rFonts w:hint="eastAsia" w:ascii="宋体" w:hAnsi="宋体"/>
          <w:color w:val="auto"/>
          <w:sz w:val="21"/>
          <w:szCs w:val="21"/>
          <w:highlight w:val="none"/>
        </w:rPr>
        <w:t>项要求递交投标保证金的，评标委员会将否决其投标。</w:t>
      </w:r>
    </w:p>
    <w:p>
      <w:pPr>
        <w:pStyle w:val="10"/>
        <w:numPr>
          <w:ilvl w:val="2"/>
          <w:numId w:val="21"/>
        </w:numPr>
        <w:kinsoku w:val="0"/>
        <w:snapToGrid w:val="0"/>
        <w:spacing w:before="0" w:beforeAutospacing="0" w:after="0" w:afterAutospacing="0" w:line="360" w:lineRule="auto"/>
        <w:ind w:left="0" w:firstLine="420" w:firstLineChars="200"/>
        <w:jc w:val="both"/>
        <w:rPr>
          <w:rFonts w:hAnsi="宋体"/>
          <w:color w:val="auto"/>
          <w:sz w:val="21"/>
          <w:szCs w:val="21"/>
          <w:highlight w:val="none"/>
        </w:rPr>
      </w:pPr>
      <w:r>
        <w:rPr>
          <w:rFonts w:hint="eastAsia" w:ascii="宋体" w:hAnsi="宋体"/>
          <w:color w:val="auto"/>
          <w:sz w:val="21"/>
          <w:szCs w:val="21"/>
          <w:highlight w:val="none"/>
        </w:rPr>
        <w:t>投标保证金的退还：</w:t>
      </w:r>
    </w:p>
    <w:p>
      <w:pPr>
        <w:pStyle w:val="10"/>
        <w:numPr>
          <w:ilvl w:val="2"/>
          <w:numId w:val="22"/>
        </w:numPr>
        <w:kinsoku w:val="0"/>
        <w:spacing w:before="0" w:beforeAutospacing="0" w:after="0" w:afterAutospacing="0" w:line="360" w:lineRule="auto"/>
        <w:ind w:left="0" w:firstLine="420" w:firstLineChars="200"/>
        <w:jc w:val="both"/>
        <w:rPr>
          <w:color w:val="auto"/>
          <w:sz w:val="21"/>
          <w:szCs w:val="21"/>
          <w:highlight w:val="none"/>
        </w:rPr>
      </w:pPr>
      <w:r>
        <w:rPr>
          <w:rFonts w:hint="eastAsia" w:ascii="宋体" w:hAnsi="宋体"/>
          <w:color w:val="auto"/>
          <w:sz w:val="21"/>
          <w:szCs w:val="21"/>
          <w:highlight w:val="none"/>
        </w:rPr>
        <w:t>未中标单位的在中标通知书发出后退还。</w:t>
      </w:r>
    </w:p>
    <w:p>
      <w:pPr>
        <w:pStyle w:val="10"/>
        <w:numPr>
          <w:ilvl w:val="2"/>
          <w:numId w:val="22"/>
        </w:numPr>
        <w:kinsoku w:val="0"/>
        <w:spacing w:before="0" w:beforeAutospacing="0" w:after="0" w:afterAutospacing="0" w:line="360" w:lineRule="auto"/>
        <w:ind w:left="0" w:firstLine="420" w:firstLineChars="200"/>
        <w:jc w:val="both"/>
        <w:rPr>
          <w:rFonts w:hAnsi="宋体"/>
          <w:color w:val="auto"/>
          <w:spacing w:val="-3"/>
          <w:sz w:val="21"/>
          <w:szCs w:val="21"/>
          <w:highlight w:val="none"/>
        </w:rPr>
      </w:pPr>
      <w:r>
        <w:rPr>
          <w:rFonts w:hint="eastAsia" w:ascii="宋体" w:hAnsi="宋体"/>
          <w:color w:val="auto"/>
          <w:sz w:val="21"/>
          <w:szCs w:val="21"/>
          <w:highlight w:val="none"/>
        </w:rPr>
        <w:t>中标单位的在合同签订后退还。</w:t>
      </w:r>
    </w:p>
    <w:p>
      <w:pPr>
        <w:pStyle w:val="10"/>
        <w:numPr>
          <w:ilvl w:val="2"/>
          <w:numId w:val="21"/>
        </w:numPr>
        <w:kinsoku w:val="0"/>
        <w:snapToGrid w:val="0"/>
        <w:spacing w:before="0" w:beforeAutospacing="0" w:after="0" w:afterAutospacing="0" w:line="360" w:lineRule="auto"/>
        <w:ind w:left="0" w:firstLine="420" w:firstLineChars="200"/>
        <w:jc w:val="both"/>
        <w:rPr>
          <w:rFonts w:hAnsi="宋体"/>
          <w:color w:val="auto"/>
          <w:sz w:val="21"/>
          <w:szCs w:val="21"/>
          <w:highlight w:val="none"/>
        </w:rPr>
      </w:pPr>
      <w:r>
        <w:rPr>
          <w:rFonts w:hint="eastAsia" w:ascii="宋体" w:hAnsi="宋体"/>
          <w:color w:val="auto"/>
          <w:sz w:val="21"/>
          <w:szCs w:val="21"/>
          <w:highlight w:val="none"/>
        </w:rPr>
        <w:t>有下列情形之一的，投标保证金将不予退还：</w:t>
      </w:r>
    </w:p>
    <w:p>
      <w:pPr>
        <w:pStyle w:val="10"/>
        <w:numPr>
          <w:ilvl w:val="0"/>
          <w:numId w:val="23"/>
        </w:numPr>
        <w:kinsoku w:val="0"/>
        <w:snapToGrid w:val="0"/>
        <w:spacing w:before="0" w:beforeAutospacing="0" w:after="0" w:afterAutospacing="0" w:line="360" w:lineRule="auto"/>
        <w:ind w:left="240" w:firstLine="476"/>
        <w:rPr>
          <w:rFonts w:hAnsi="宋体"/>
          <w:color w:val="auto"/>
          <w:sz w:val="21"/>
          <w:szCs w:val="21"/>
          <w:highlight w:val="none"/>
        </w:rPr>
      </w:pPr>
      <w:r>
        <w:rPr>
          <w:rFonts w:hint="eastAsia" w:ascii="宋体" w:hAnsi="宋体"/>
          <w:color w:val="auto"/>
          <w:spacing w:val="-1"/>
          <w:sz w:val="21"/>
          <w:szCs w:val="21"/>
          <w:highlight w:val="none"/>
        </w:rPr>
        <w:t>在提交投标文件截止时间后到招标文件规定的投标有效期终止之前，投标人撤销其投标文件的</w:t>
      </w:r>
      <w:r>
        <w:rPr>
          <w:rFonts w:hAnsi="宋体"/>
          <w:color w:val="auto"/>
          <w:spacing w:val="-1"/>
          <w:sz w:val="21"/>
          <w:szCs w:val="21"/>
          <w:highlight w:val="none"/>
        </w:rPr>
        <w:t>;</w:t>
      </w:r>
    </w:p>
    <w:p>
      <w:pPr>
        <w:pStyle w:val="10"/>
        <w:numPr>
          <w:ilvl w:val="0"/>
          <w:numId w:val="23"/>
        </w:numPr>
        <w:kinsoku w:val="0"/>
        <w:snapToGrid w:val="0"/>
        <w:spacing w:before="0" w:beforeAutospacing="0" w:after="0" w:afterAutospacing="0" w:line="360" w:lineRule="auto"/>
        <w:ind w:left="240" w:firstLine="476"/>
        <w:rPr>
          <w:rFonts w:hAnsi="宋体"/>
          <w:color w:val="auto"/>
          <w:sz w:val="21"/>
          <w:szCs w:val="21"/>
          <w:highlight w:val="none"/>
        </w:rPr>
      </w:pPr>
      <w:r>
        <w:rPr>
          <w:rFonts w:hint="eastAsia" w:ascii="宋体" w:hAnsi="宋体"/>
          <w:color w:val="auto"/>
          <w:spacing w:val="-1"/>
          <w:sz w:val="21"/>
          <w:szCs w:val="21"/>
          <w:highlight w:val="none"/>
        </w:rPr>
        <w:t>中标人在收到中标通知书后，无正当理由不与招标人订立合同，在签订合同时向招标</w:t>
      </w:r>
      <w:r>
        <w:rPr>
          <w:rFonts w:hint="eastAsia" w:ascii="宋体" w:hAnsi="宋体"/>
          <w:color w:val="auto"/>
          <w:sz w:val="21"/>
          <w:szCs w:val="21"/>
          <w:highlight w:val="none"/>
        </w:rPr>
        <w:t>人提出附加条件，或者不按照招标文件要求提交履约担保；</w:t>
      </w:r>
    </w:p>
    <w:p>
      <w:pPr>
        <w:pStyle w:val="10"/>
        <w:numPr>
          <w:ilvl w:val="0"/>
          <w:numId w:val="23"/>
        </w:numPr>
        <w:kinsoku w:val="0"/>
        <w:snapToGrid w:val="0"/>
        <w:spacing w:before="0" w:beforeAutospacing="0" w:after="0" w:afterAutospacing="0" w:line="360" w:lineRule="auto"/>
        <w:ind w:left="240" w:firstLine="480"/>
        <w:rPr>
          <w:rFonts w:hAnsi="宋体"/>
          <w:color w:val="auto"/>
          <w:sz w:val="21"/>
          <w:szCs w:val="21"/>
          <w:highlight w:val="none"/>
        </w:rPr>
      </w:pPr>
      <w:r>
        <w:rPr>
          <w:rFonts w:hint="eastAsia" w:ascii="宋体" w:hAnsi="宋体"/>
          <w:color w:val="auto"/>
          <w:sz w:val="21"/>
          <w:szCs w:val="21"/>
          <w:highlight w:val="none"/>
        </w:rPr>
        <w:t>投标人须知前附表规定的其他情形。</w:t>
      </w:r>
    </w:p>
    <w:p>
      <w:pPr>
        <w:spacing w:line="360" w:lineRule="auto"/>
        <w:ind w:firstLine="234" w:firstLineChars="97"/>
        <w:rPr>
          <w:rFonts w:ascii="宋体" w:hAnsi="宋体"/>
          <w:b/>
          <w:color w:val="auto"/>
          <w:sz w:val="24"/>
          <w:szCs w:val="24"/>
          <w:highlight w:val="none"/>
        </w:rPr>
      </w:pPr>
      <w:bookmarkStart w:id="117" w:name="bookmark45"/>
      <w:bookmarkEnd w:id="117"/>
      <w:r>
        <w:rPr>
          <w:rFonts w:hint="eastAsia" w:ascii="宋体" w:hAnsi="宋体"/>
          <w:b/>
          <w:color w:val="auto"/>
          <w:sz w:val="24"/>
          <w:szCs w:val="24"/>
          <w:highlight w:val="none"/>
        </w:rPr>
        <w:t>3.5资格审查证明资料</w:t>
      </w:r>
    </w:p>
    <w:p>
      <w:pPr>
        <w:pStyle w:val="10"/>
        <w:shd w:val="clear" w:color="auto" w:fill="FFFFFF"/>
        <w:kinsoku w:val="0"/>
        <w:spacing w:before="0" w:beforeAutospacing="0" w:after="0" w:afterAutospacing="0" w:line="360" w:lineRule="auto"/>
        <w:ind w:left="0" w:firstLine="420" w:firstLineChars="200"/>
        <w:jc w:val="both"/>
        <w:rPr>
          <w:rFonts w:hint="eastAsia" w:eastAsia="宋体"/>
          <w:bCs/>
          <w:color w:val="auto"/>
          <w:sz w:val="21"/>
          <w:szCs w:val="21"/>
          <w:highlight w:val="none"/>
        </w:rPr>
      </w:pPr>
      <w:r>
        <w:rPr>
          <w:rFonts w:hint="eastAsia" w:ascii="宋体" w:hAnsi="宋体"/>
          <w:color w:val="auto"/>
          <w:sz w:val="21"/>
          <w:szCs w:val="21"/>
          <w:highlight w:val="none"/>
        </w:rPr>
        <w:t>3.5.1</w:t>
      </w:r>
      <w:r>
        <w:rPr>
          <w:rFonts w:hint="eastAsia" w:ascii="宋体" w:hAnsi="宋体"/>
          <w:color w:val="auto"/>
          <w:spacing w:val="-4"/>
          <w:sz w:val="21"/>
          <w:szCs w:val="21"/>
          <w:highlight w:val="none"/>
        </w:rPr>
        <w:t>“投标人基本情况表”应附投标人营业执照和组织机构代码证的复制件（按照“三证合一”</w:t>
      </w:r>
      <w:r>
        <w:rPr>
          <w:rFonts w:hint="eastAsia" w:ascii="宋体" w:hAnsi="宋体"/>
          <w:color w:val="auto"/>
          <w:spacing w:val="-6"/>
          <w:sz w:val="21"/>
          <w:szCs w:val="21"/>
          <w:highlight w:val="none"/>
        </w:rPr>
        <w:t>或“五证合一”登记制度进行登记的，可仅提供营业执照复制件）、投标人资质证书、安</w:t>
      </w:r>
      <w:r>
        <w:rPr>
          <w:rFonts w:hint="eastAsia" w:eastAsia="宋体"/>
          <w:bCs/>
          <w:color w:val="auto"/>
          <w:sz w:val="21"/>
          <w:szCs w:val="21"/>
          <w:highlight w:val="none"/>
        </w:rPr>
        <w:t>全生产许可证副本等材料的复制件。</w:t>
      </w:r>
    </w:p>
    <w:p>
      <w:pPr>
        <w:pStyle w:val="10"/>
        <w:shd w:val="clear" w:color="auto" w:fill="FFFFFF"/>
        <w:kinsoku w:val="0"/>
        <w:spacing w:before="0" w:beforeAutospacing="0" w:after="0" w:afterAutospacing="0" w:line="360" w:lineRule="auto"/>
        <w:ind w:left="0" w:firstLine="420" w:firstLineChars="200"/>
        <w:jc w:val="both"/>
        <w:rPr>
          <w:rFonts w:hint="eastAsia" w:eastAsia="宋体"/>
          <w:bCs/>
          <w:color w:val="auto"/>
          <w:sz w:val="21"/>
          <w:szCs w:val="21"/>
          <w:highlight w:val="none"/>
        </w:rPr>
      </w:pPr>
      <w:r>
        <w:rPr>
          <w:rFonts w:hint="eastAsia" w:eastAsia="宋体"/>
          <w:bCs/>
          <w:color w:val="auto"/>
          <w:sz w:val="21"/>
          <w:szCs w:val="21"/>
          <w:highlight w:val="none"/>
        </w:rPr>
        <w:t>提供投标人</w:t>
      </w:r>
      <w:r>
        <w:rPr>
          <w:rFonts w:hint="eastAsia" w:eastAsia="宋体"/>
          <w:bCs/>
          <w:color w:val="auto"/>
          <w:sz w:val="21"/>
          <w:szCs w:val="21"/>
          <w:highlight w:val="none"/>
          <w:u w:val="single"/>
          <w:lang w:val="en-US" w:eastAsia="zh-CN"/>
        </w:rPr>
        <w:t xml:space="preserve">    </w:t>
      </w:r>
      <w:r>
        <w:rPr>
          <w:rFonts w:hint="eastAsia" w:eastAsia="宋体"/>
          <w:bCs/>
          <w:color w:val="auto"/>
          <w:sz w:val="21"/>
          <w:szCs w:val="21"/>
          <w:highlight w:val="none"/>
        </w:rPr>
        <w:t>年</w:t>
      </w:r>
      <w:r>
        <w:rPr>
          <w:rFonts w:hint="eastAsia" w:eastAsia="宋体"/>
          <w:bCs/>
          <w:color w:val="auto"/>
          <w:sz w:val="21"/>
          <w:szCs w:val="21"/>
          <w:highlight w:val="none"/>
          <w:u w:val="single"/>
          <w:lang w:val="en-US" w:eastAsia="zh-CN"/>
        </w:rPr>
        <w:t xml:space="preserve">   </w:t>
      </w:r>
      <w:r>
        <w:rPr>
          <w:rFonts w:hint="eastAsia" w:eastAsia="宋体"/>
          <w:bCs/>
          <w:color w:val="auto"/>
          <w:sz w:val="21"/>
          <w:szCs w:val="21"/>
          <w:highlight w:val="none"/>
        </w:rPr>
        <w:t>月</w:t>
      </w:r>
      <w:r>
        <w:rPr>
          <w:rFonts w:hint="eastAsia" w:eastAsia="宋体"/>
          <w:bCs/>
          <w:color w:val="auto"/>
          <w:sz w:val="21"/>
          <w:szCs w:val="21"/>
          <w:highlight w:val="none"/>
          <w:u w:val="single"/>
          <w:lang w:val="en-US" w:eastAsia="zh-CN"/>
        </w:rPr>
        <w:t xml:space="preserve">   </w:t>
      </w:r>
      <w:r>
        <w:rPr>
          <w:rFonts w:hint="eastAsia" w:eastAsia="宋体"/>
          <w:bCs/>
          <w:color w:val="auto"/>
          <w:sz w:val="21"/>
          <w:szCs w:val="21"/>
          <w:highlight w:val="none"/>
        </w:rPr>
        <w:t>日（</w:t>
      </w:r>
      <w:r>
        <w:rPr>
          <w:rFonts w:hint="eastAsia" w:eastAsia="宋体"/>
          <w:bCs/>
          <w:color w:val="auto"/>
          <w:sz w:val="21"/>
          <w:szCs w:val="21"/>
          <w:highlight w:val="none"/>
          <w:lang w:val="en-US" w:eastAsia="zh-CN"/>
        </w:rPr>
        <w:t>周一，</w:t>
      </w:r>
      <w:r>
        <w:rPr>
          <w:rFonts w:hint="eastAsia" w:eastAsia="宋体"/>
          <w:bCs/>
          <w:color w:val="auto"/>
          <w:sz w:val="21"/>
          <w:szCs w:val="21"/>
          <w:highlight w:val="none"/>
        </w:rPr>
        <w:t>招标公告发布之日至投标截止之日)在“浙江省建筑市场监管公共服务系统”上，参与投标资质的“资质动态核查结果证明”；</w:t>
      </w:r>
    </w:p>
    <w:p>
      <w:pPr>
        <w:pStyle w:val="10"/>
        <w:shd w:val="clear" w:color="auto" w:fill="FFFFFF"/>
        <w:kinsoku w:val="0"/>
        <w:spacing w:before="0" w:beforeAutospacing="0" w:after="0" w:afterAutospacing="0" w:line="360" w:lineRule="auto"/>
        <w:ind w:left="0" w:firstLine="420" w:firstLineChars="200"/>
        <w:jc w:val="both"/>
        <w:rPr>
          <w:rFonts w:hint="eastAsia" w:eastAsia="宋体"/>
          <w:bCs/>
          <w:color w:val="auto"/>
          <w:sz w:val="21"/>
          <w:szCs w:val="21"/>
          <w:highlight w:val="none"/>
        </w:rPr>
      </w:pPr>
      <w:r>
        <w:rPr>
          <w:rFonts w:hint="eastAsia" w:eastAsia="宋体"/>
          <w:bCs/>
          <w:color w:val="auto"/>
          <w:sz w:val="21"/>
          <w:szCs w:val="21"/>
          <w:highlight w:val="none"/>
        </w:rPr>
        <w:t>3.5.2法定代表人身份证明书、企业主要负责人（法定代表人、企业经理、企业分管安全生产的副经理、企业技术负责人）专职安全生产管理人员A类证书以及企业经理、企业分管安全生产的副经理、企业技术负责人任命书的复制件。</w:t>
      </w:r>
    </w:p>
    <w:p>
      <w:pPr>
        <w:pStyle w:val="10"/>
        <w:shd w:val="clear" w:color="auto" w:fill="FFFFFF"/>
        <w:kinsoku w:val="0"/>
        <w:spacing w:before="0" w:beforeAutospacing="0" w:after="0" w:afterAutospacing="0" w:line="360" w:lineRule="auto"/>
        <w:ind w:left="0" w:firstLine="420" w:firstLineChars="200"/>
        <w:jc w:val="both"/>
        <w:rPr>
          <w:rFonts w:hint="eastAsia" w:eastAsia="宋体"/>
          <w:bCs/>
          <w:color w:val="auto"/>
          <w:sz w:val="21"/>
          <w:szCs w:val="21"/>
          <w:highlight w:val="none"/>
        </w:rPr>
      </w:pPr>
      <w:r>
        <w:rPr>
          <w:rFonts w:hint="eastAsia" w:eastAsia="宋体"/>
          <w:bCs/>
          <w:color w:val="auto"/>
          <w:sz w:val="21"/>
          <w:szCs w:val="21"/>
          <w:highlight w:val="none"/>
        </w:rPr>
        <w:t>3.5.3拟派项目负责人建造师执业资格，同时具有专职安全生产管理人员B类证书复制件。拟派项目负责人须为投标企业在职职工（在职职工不包括离、退休返聘人员），须提供缴费期限包含</w:t>
      </w:r>
      <w:r>
        <w:rPr>
          <w:rFonts w:hint="eastAsia"/>
          <w:bCs/>
          <w:color w:val="auto"/>
          <w:sz w:val="21"/>
          <w:szCs w:val="21"/>
          <w:highlight w:val="none"/>
          <w:lang w:eastAsia="zh-CN"/>
        </w:rPr>
        <w:t>2024年1月至2024年3月</w:t>
      </w:r>
      <w:r>
        <w:rPr>
          <w:rFonts w:hint="eastAsia" w:eastAsia="宋体"/>
          <w:bCs/>
          <w:color w:val="auto"/>
          <w:sz w:val="21"/>
          <w:szCs w:val="21"/>
          <w:highlight w:val="none"/>
        </w:rPr>
        <w:t>的投标人所属社保机构养老保险交纳清单或证明【缴费单位和投标单位名称必须一致，非独立法人的分公司社保，也予以认可，并加盖社保缴费证明专用章（或电子专用章）】。若项目负责人为事业编制的，须提供缴费期限包含</w:t>
      </w:r>
      <w:r>
        <w:rPr>
          <w:rFonts w:hint="eastAsia"/>
          <w:bCs/>
          <w:color w:val="auto"/>
          <w:sz w:val="21"/>
          <w:szCs w:val="21"/>
          <w:highlight w:val="none"/>
          <w:lang w:eastAsia="zh-CN"/>
        </w:rPr>
        <w:t>2024年1月至2024年3月</w:t>
      </w:r>
      <w:r>
        <w:rPr>
          <w:rFonts w:hint="eastAsia" w:eastAsia="宋体"/>
          <w:bCs/>
          <w:color w:val="auto"/>
          <w:sz w:val="21"/>
          <w:szCs w:val="21"/>
          <w:highlight w:val="none"/>
        </w:rPr>
        <w:t>由人事代理中心出具的社保证明（需加盖人事代理中心证明专用章）。</w:t>
      </w:r>
    </w:p>
    <w:p>
      <w:pPr>
        <w:pStyle w:val="1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3.5.4</w:t>
      </w:r>
      <w:r>
        <w:rPr>
          <w:rFonts w:hint="eastAsia" w:ascii="宋体" w:hAnsi="宋体"/>
          <w:bCs/>
          <w:color w:val="auto"/>
          <w:sz w:val="21"/>
          <w:szCs w:val="21"/>
          <w:highlight w:val="none"/>
        </w:rPr>
        <w:t>施工现场专职安全生产管理人员有效的专职安全生产管理人员C类证书复制件。</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3.5.5</w:t>
      </w:r>
      <w:r>
        <w:rPr>
          <w:rFonts w:hint="eastAsia" w:ascii="宋体" w:hAnsi="宋体"/>
          <w:color w:val="auto"/>
          <w:spacing w:val="-5"/>
          <w:sz w:val="21"/>
          <w:szCs w:val="21"/>
          <w:highlight w:val="none"/>
        </w:rPr>
        <w:t>投标人须知前附表规定接受联合体投标的，本章第</w:t>
      </w:r>
      <w:r>
        <w:rPr>
          <w:rFonts w:hint="eastAsia" w:ascii="宋体" w:hAnsi="宋体"/>
          <w:color w:val="auto"/>
          <w:sz w:val="21"/>
          <w:szCs w:val="21"/>
          <w:highlight w:val="none"/>
        </w:rPr>
        <w:t>3.5.1项至第3.5.2项规定的表格和资料应包括联合体各方相关情况。</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3.5.6其他见须知前附表。</w:t>
      </w:r>
    </w:p>
    <w:p>
      <w:pPr>
        <w:spacing w:line="360" w:lineRule="auto"/>
        <w:ind w:firstLine="234" w:firstLineChars="97"/>
        <w:rPr>
          <w:rFonts w:ascii="宋体" w:hAnsi="宋体"/>
          <w:b/>
          <w:color w:val="auto"/>
          <w:sz w:val="24"/>
          <w:szCs w:val="24"/>
          <w:highlight w:val="none"/>
        </w:rPr>
      </w:pPr>
      <w:bookmarkStart w:id="118" w:name="bookmark47"/>
      <w:bookmarkEnd w:id="118"/>
      <w:r>
        <w:rPr>
          <w:rFonts w:hint="eastAsia" w:ascii="宋体" w:hAnsi="宋体"/>
          <w:b/>
          <w:color w:val="auto"/>
          <w:sz w:val="24"/>
          <w:szCs w:val="24"/>
          <w:highlight w:val="none"/>
        </w:rPr>
        <w:t>3.6备选投标方案</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3.6.1投标人不得递交备选投标方案，否则其投标将被否决。</w:t>
      </w:r>
    </w:p>
    <w:p>
      <w:pPr>
        <w:spacing w:line="360" w:lineRule="auto"/>
        <w:ind w:firstLine="234" w:firstLineChars="97"/>
        <w:rPr>
          <w:rFonts w:ascii="宋体" w:hAnsi="宋体"/>
          <w:b/>
          <w:color w:val="auto"/>
          <w:sz w:val="24"/>
          <w:szCs w:val="24"/>
          <w:highlight w:val="none"/>
        </w:rPr>
      </w:pPr>
      <w:bookmarkStart w:id="119" w:name="bookmark48"/>
      <w:bookmarkEnd w:id="119"/>
      <w:r>
        <w:rPr>
          <w:rFonts w:hint="eastAsia" w:ascii="宋体" w:hAnsi="宋体"/>
          <w:b/>
          <w:color w:val="auto"/>
          <w:sz w:val="24"/>
          <w:szCs w:val="24"/>
          <w:highlight w:val="none"/>
        </w:rPr>
        <w:t>3.7投标文件的编制</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3.7.1投标文件应按第八章“投标文件格式”进行编写，如有必要，可以增加附页，作为投标文件的组成部分。其中，投标函附录在满足招标文件实质性要求的基础上，可以提出比招标文件要求更有利于招标人的承诺。投标文件应尽量避免涂改、行间插字或删除。</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3.7.2投标文件应当对招标文件有关工期、投标有效期、质量要求、技术标准和要求、招标范围等实质性内容作出响应。</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3.7.3电子投标的要求</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（1）电子投标文件签字或盖章的具体要求见投标人须知前附表。</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（2）电子投标文件制作要求见投标人须知前附表。</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（3）电子投标文件所附证书证件及业绩证明文件要求见投标人须知前附表规定。</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3.7.4投标文件格式</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投标文件包括本须知第3.1条中规定的内容，投标人提交的投标文件应使用招标文件所提供的投标文件全部格式(表格可以按同样格式扩展)。</w:t>
      </w:r>
    </w:p>
    <w:p>
      <w:pPr>
        <w:spacing w:line="360" w:lineRule="auto"/>
        <w:rPr>
          <w:rFonts w:ascii="宋体" w:hAnsi="宋体"/>
          <w:b/>
          <w:color w:val="auto"/>
          <w:sz w:val="30"/>
          <w:szCs w:val="30"/>
          <w:highlight w:val="none"/>
        </w:rPr>
      </w:pPr>
      <w:bookmarkStart w:id="120" w:name="bookmark49"/>
      <w:bookmarkEnd w:id="120"/>
      <w:bookmarkStart w:id="121" w:name="_Toc9226"/>
      <w:bookmarkEnd w:id="121"/>
      <w:bookmarkStart w:id="122" w:name="_Toc22828071"/>
      <w:bookmarkEnd w:id="122"/>
      <w:bookmarkStart w:id="123" w:name="_Toc45697235"/>
      <w:r>
        <w:rPr>
          <w:rFonts w:hint="eastAsia" w:ascii="宋体" w:hAnsi="宋体"/>
          <w:b/>
          <w:color w:val="auto"/>
          <w:sz w:val="30"/>
          <w:szCs w:val="30"/>
          <w:highlight w:val="none"/>
        </w:rPr>
        <w:t>4.投标</w:t>
      </w:r>
      <w:bookmarkEnd w:id="123"/>
    </w:p>
    <w:p>
      <w:pPr>
        <w:numPr>
          <w:ilvl w:val="1"/>
          <w:numId w:val="24"/>
        </w:numPr>
        <w:spacing w:line="360" w:lineRule="auto"/>
        <w:ind w:left="0" w:firstLine="236" w:firstLineChars="98"/>
        <w:rPr>
          <w:rFonts w:ascii="宋体" w:hAnsi="宋体"/>
          <w:b/>
          <w:color w:val="auto"/>
          <w:sz w:val="24"/>
          <w:szCs w:val="24"/>
          <w:highlight w:val="none"/>
        </w:rPr>
      </w:pPr>
      <w:bookmarkStart w:id="124" w:name="bookmark50"/>
      <w:bookmarkEnd w:id="124"/>
      <w:r>
        <w:rPr>
          <w:rFonts w:hint="eastAsia" w:ascii="宋体" w:hAnsi="宋体"/>
          <w:b/>
          <w:color w:val="auto"/>
          <w:sz w:val="24"/>
          <w:szCs w:val="24"/>
          <w:highlight w:val="none"/>
        </w:rPr>
        <w:t>投标文件的密封和标记</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4.1.1</w:t>
      </w:r>
      <w:r>
        <w:rPr>
          <w:rFonts w:hint="eastAsia" w:ascii="宋体" w:hAnsi="宋体"/>
          <w:color w:val="auto"/>
          <w:spacing w:val="-2"/>
          <w:sz w:val="21"/>
          <w:szCs w:val="21"/>
          <w:highlight w:val="none"/>
        </w:rPr>
        <w:t>投标文件的密封、标记和电子投标加密要求</w:t>
      </w:r>
      <w:r>
        <w:rPr>
          <w:rFonts w:hint="eastAsia" w:ascii="宋体" w:hAnsi="宋体"/>
          <w:color w:val="auto"/>
          <w:sz w:val="21"/>
          <w:szCs w:val="21"/>
          <w:highlight w:val="none"/>
        </w:rPr>
        <w:t>见投标人须知前附表。</w:t>
      </w:r>
    </w:p>
    <w:p>
      <w:pPr>
        <w:numPr>
          <w:ilvl w:val="1"/>
          <w:numId w:val="24"/>
        </w:numPr>
        <w:spacing w:line="360" w:lineRule="auto"/>
        <w:ind w:left="0" w:firstLine="236" w:firstLineChars="98"/>
        <w:rPr>
          <w:rFonts w:ascii="宋体" w:hAnsi="宋体"/>
          <w:b/>
          <w:color w:val="auto"/>
          <w:sz w:val="24"/>
          <w:szCs w:val="24"/>
          <w:highlight w:val="none"/>
        </w:rPr>
      </w:pPr>
      <w:r>
        <w:rPr>
          <w:rFonts w:hint="eastAsia" w:ascii="宋体" w:hAnsi="宋体"/>
          <w:b/>
          <w:color w:val="auto"/>
          <w:sz w:val="24"/>
          <w:szCs w:val="24"/>
          <w:highlight w:val="none"/>
        </w:rPr>
        <w:t>投标文件的递交</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4.2.1投标人应在投标人须知前附表规定的投标截止时间前递交投标文件。</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4.2.2投标人通过下载招标文件的电子招标投标交易平台递交电子投标文件。</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4.2.3除投标人须知前附表另有规定外，投标人所递交的投标文件不予退还。</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4.2.4投标人完成电子投标文件上传后，电子招标投标交易平台即时向投标人发出递交回执通知。递交时间以递交回执通知载明的传输完成时间为准。</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4.2.5电子投标文件的拒收情形：见投标须知前附表。</w:t>
      </w:r>
    </w:p>
    <w:p>
      <w:pPr>
        <w:numPr>
          <w:ilvl w:val="1"/>
          <w:numId w:val="24"/>
        </w:numPr>
        <w:spacing w:line="360" w:lineRule="auto"/>
        <w:ind w:left="0" w:firstLine="236" w:firstLineChars="98"/>
        <w:rPr>
          <w:rFonts w:ascii="宋体" w:hAnsi="宋体"/>
          <w:b/>
          <w:color w:val="auto"/>
          <w:sz w:val="24"/>
          <w:szCs w:val="24"/>
          <w:highlight w:val="none"/>
        </w:rPr>
      </w:pPr>
      <w:bookmarkStart w:id="125" w:name="bookmark52"/>
      <w:bookmarkEnd w:id="125"/>
      <w:r>
        <w:rPr>
          <w:rFonts w:hint="eastAsia" w:ascii="宋体" w:hAnsi="宋体"/>
          <w:b/>
          <w:color w:val="auto"/>
          <w:sz w:val="24"/>
          <w:szCs w:val="24"/>
          <w:highlight w:val="none"/>
        </w:rPr>
        <w:t>投标文件的修改与撤回</w:t>
      </w:r>
    </w:p>
    <w:p>
      <w:pPr>
        <w:pStyle w:val="10"/>
        <w:kinsoku w:val="0"/>
        <w:spacing w:before="0" w:beforeAutospacing="0" w:after="0" w:afterAutospacing="0" w:line="360" w:lineRule="auto"/>
        <w:ind w:left="0" w:firstLine="420" w:firstLineChars="200"/>
        <w:rPr>
          <w:rFonts w:ascii="宋体" w:hAnsi="宋体"/>
          <w:color w:val="auto"/>
          <w:spacing w:val="-4"/>
          <w:sz w:val="21"/>
          <w:szCs w:val="21"/>
          <w:highlight w:val="none"/>
        </w:rPr>
      </w:pPr>
      <w:r>
        <w:rPr>
          <w:rFonts w:hint="eastAsia" w:ascii="宋体" w:hAnsi="宋体"/>
          <w:color w:val="auto"/>
          <w:sz w:val="21"/>
          <w:szCs w:val="21"/>
          <w:highlight w:val="none"/>
        </w:rPr>
        <w:t>4.3.1在本章第4.2.1</w:t>
      </w:r>
      <w:r>
        <w:rPr>
          <w:rFonts w:hint="eastAsia" w:ascii="宋体" w:hAnsi="宋体"/>
          <w:color w:val="auto"/>
          <w:spacing w:val="-4"/>
          <w:sz w:val="21"/>
          <w:szCs w:val="21"/>
          <w:highlight w:val="none"/>
        </w:rPr>
        <w:t>项规定的投标截止时间前，投标人可以修改或撤回已递交的投标文件，</w:t>
      </w:r>
      <w:r>
        <w:rPr>
          <w:rFonts w:hint="eastAsia" w:ascii="宋体" w:hAnsi="宋体"/>
          <w:color w:val="auto"/>
          <w:sz w:val="21"/>
          <w:szCs w:val="21"/>
          <w:highlight w:val="none"/>
        </w:rPr>
        <w:t>但应以书面形式通知招标人。</w:t>
      </w:r>
      <w:r>
        <w:rPr>
          <w:rFonts w:hint="eastAsia" w:ascii="宋体" w:hAnsi="宋体"/>
          <w:color w:val="auto"/>
          <w:spacing w:val="-4"/>
          <w:sz w:val="21"/>
          <w:szCs w:val="21"/>
          <w:highlight w:val="none"/>
        </w:rPr>
        <w:t>投标截止时间前未完成投标文件传输的，视为撤回投标文件。</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4.3.2投标人修改或撤回已递交投标文件的通知，应按照本章第3.7.3项的要求加盖电子印章。电子招标投标交易平台收到通知后，即时向投标人发出确认回执通知。</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4.3.3</w:t>
      </w:r>
      <w:r>
        <w:rPr>
          <w:rFonts w:hint="eastAsia" w:ascii="宋体" w:hAnsi="宋体"/>
          <w:color w:val="auto"/>
          <w:spacing w:val="-4"/>
          <w:sz w:val="21"/>
          <w:szCs w:val="21"/>
          <w:highlight w:val="none"/>
        </w:rPr>
        <w:t>投标人撤回投标文件的，招标人自收到投标人书面撤回通知之日起</w:t>
      </w:r>
      <w:r>
        <w:rPr>
          <w:rFonts w:hint="eastAsia" w:ascii="宋体" w:hAnsi="宋体"/>
          <w:color w:val="auto"/>
          <w:sz w:val="21"/>
          <w:szCs w:val="21"/>
          <w:highlight w:val="none"/>
        </w:rPr>
        <w:t>5日内退还已收取的投标保证金。</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4.3.4</w:t>
      </w:r>
      <w:r>
        <w:rPr>
          <w:rFonts w:hint="eastAsia" w:ascii="宋体" w:hAnsi="宋体"/>
          <w:color w:val="auto"/>
          <w:spacing w:val="-3"/>
          <w:sz w:val="21"/>
          <w:szCs w:val="21"/>
          <w:highlight w:val="none"/>
        </w:rPr>
        <w:t>修改的内容为投标文件的组成部分。修改的投标文件应按照本章第</w:t>
      </w:r>
      <w:r>
        <w:rPr>
          <w:rFonts w:hint="eastAsia" w:ascii="宋体" w:hAnsi="宋体"/>
          <w:color w:val="auto"/>
          <w:sz w:val="21"/>
          <w:szCs w:val="21"/>
          <w:highlight w:val="none"/>
        </w:rPr>
        <w:t>3</w:t>
      </w:r>
      <w:r>
        <w:rPr>
          <w:rFonts w:hint="eastAsia" w:ascii="宋体" w:hAnsi="宋体"/>
          <w:color w:val="auto"/>
          <w:spacing w:val="-14"/>
          <w:sz w:val="21"/>
          <w:szCs w:val="21"/>
          <w:highlight w:val="none"/>
        </w:rPr>
        <w:t>条、第</w:t>
      </w:r>
      <w:r>
        <w:rPr>
          <w:rFonts w:hint="eastAsia" w:ascii="宋体" w:hAnsi="宋体"/>
          <w:color w:val="auto"/>
          <w:sz w:val="21"/>
          <w:szCs w:val="21"/>
          <w:highlight w:val="none"/>
        </w:rPr>
        <w:t>4条的规定进行编制、密封、标记和递交，并标明“修改”字样。</w:t>
      </w:r>
    </w:p>
    <w:p>
      <w:pPr>
        <w:spacing w:line="360" w:lineRule="auto"/>
        <w:rPr>
          <w:rFonts w:ascii="宋体" w:hAnsi="宋体"/>
          <w:b/>
          <w:color w:val="auto"/>
          <w:sz w:val="30"/>
          <w:szCs w:val="30"/>
          <w:highlight w:val="none"/>
        </w:rPr>
      </w:pPr>
      <w:bookmarkStart w:id="126" w:name="bookmark53"/>
      <w:bookmarkEnd w:id="126"/>
      <w:bookmarkStart w:id="127" w:name="_Toc22828072"/>
      <w:bookmarkEnd w:id="127"/>
      <w:bookmarkStart w:id="128" w:name="_Toc45697236"/>
      <w:bookmarkEnd w:id="128"/>
      <w:bookmarkStart w:id="129" w:name="_Toc21471"/>
      <w:r>
        <w:rPr>
          <w:rFonts w:hint="eastAsia" w:ascii="宋体" w:hAnsi="宋体"/>
          <w:b/>
          <w:color w:val="auto"/>
          <w:sz w:val="30"/>
          <w:szCs w:val="30"/>
          <w:highlight w:val="none"/>
        </w:rPr>
        <w:t>5.开标</w:t>
      </w:r>
      <w:bookmarkEnd w:id="129"/>
    </w:p>
    <w:p>
      <w:pPr>
        <w:numPr>
          <w:ilvl w:val="1"/>
          <w:numId w:val="25"/>
        </w:numPr>
        <w:spacing w:line="360" w:lineRule="auto"/>
        <w:ind w:left="0" w:firstLine="236" w:firstLineChars="98"/>
        <w:rPr>
          <w:rFonts w:ascii="宋体" w:hAnsi="宋体"/>
          <w:b/>
          <w:color w:val="auto"/>
          <w:sz w:val="24"/>
          <w:szCs w:val="24"/>
          <w:highlight w:val="none"/>
        </w:rPr>
      </w:pPr>
      <w:bookmarkStart w:id="130" w:name="bookmark54"/>
      <w:bookmarkEnd w:id="130"/>
      <w:r>
        <w:rPr>
          <w:rFonts w:hint="eastAsia" w:ascii="宋体" w:hAnsi="宋体"/>
          <w:b/>
          <w:color w:val="auto"/>
          <w:sz w:val="24"/>
          <w:szCs w:val="24"/>
          <w:highlight w:val="none"/>
        </w:rPr>
        <w:t>开标时间和地点</w:t>
      </w:r>
    </w:p>
    <w:p>
      <w:pPr>
        <w:pStyle w:val="10"/>
        <w:kinsoku w:val="0"/>
        <w:snapToGrid w:val="0"/>
        <w:spacing w:before="0" w:beforeAutospacing="0" w:after="0" w:afterAutospacing="0" w:line="360" w:lineRule="auto"/>
        <w:ind w:left="0" w:firstLine="420" w:firstLineChars="200"/>
        <w:jc w:val="both"/>
        <w:rPr>
          <w:rFonts w:hAnsi="宋体"/>
          <w:color w:val="auto"/>
          <w:sz w:val="21"/>
          <w:szCs w:val="21"/>
          <w:highlight w:val="none"/>
        </w:rPr>
      </w:pPr>
      <w:r>
        <w:rPr>
          <w:rFonts w:hint="eastAsia" w:ascii="宋体" w:hAnsi="宋体"/>
          <w:color w:val="auto"/>
          <w:sz w:val="21"/>
          <w:szCs w:val="21"/>
          <w:highlight w:val="none"/>
        </w:rPr>
        <w:t>见投标人须知前附表。</w:t>
      </w:r>
    </w:p>
    <w:p>
      <w:pPr>
        <w:numPr>
          <w:ilvl w:val="1"/>
          <w:numId w:val="25"/>
        </w:numPr>
        <w:spacing w:line="360" w:lineRule="auto"/>
        <w:ind w:left="0" w:firstLine="236" w:firstLineChars="98"/>
        <w:rPr>
          <w:rFonts w:ascii="宋体" w:hAnsi="宋体"/>
          <w:b/>
          <w:bCs/>
          <w:color w:val="auto"/>
          <w:sz w:val="24"/>
          <w:szCs w:val="24"/>
          <w:highlight w:val="none"/>
          <w:u w:val="single"/>
        </w:rPr>
      </w:pPr>
      <w:bookmarkStart w:id="131" w:name="bookmark55"/>
      <w:bookmarkEnd w:id="131"/>
      <w:bookmarkStart w:id="132" w:name="bookmark56"/>
      <w:bookmarkEnd w:id="132"/>
      <w:r>
        <w:rPr>
          <w:rFonts w:hint="eastAsia" w:ascii="宋体" w:hAnsi="宋体"/>
          <w:b/>
          <w:color w:val="auto"/>
          <w:sz w:val="24"/>
          <w:szCs w:val="24"/>
          <w:highlight w:val="none"/>
        </w:rPr>
        <w:t>开标程序</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5.2.1 开标程序</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（一）宣布开标</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至投标截止时间，招标人（或其招标代理机构）宣布开始开标，宣读开标项目名称、招标人代表、监标人等有关人员姓名。</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（二）公布投标人数量</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招标人公布投标人数量及保证金缴纳情况。若递交投标文件的单位数量少于 3家，招标人公布已递交投标文件单位名称，宣布本次招标失败。</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（三）投标人解密</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递交投标文件的投标人数量大于等于3家，进入投标人解密环节。</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投标人解密方式：投标人登录不见面开标大厅：http://bjm.sxyc.gov.cn/BidOpening/bidopeninghallaction/hall/login(越城区不见面开标大厅)。待招标人点击解密指令后，投标人使用生成投标文件的CA数字证书在线解密。</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若成功解密的投标人少于3家，招标人宣布本次招标失败。</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（四）清单、参数录入（若有）</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录入最高投标限价。相关权重系数、浮动系数等抽取值（在商务标评审阶段进行抽取、录入）</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（五）公布开标结果</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投标人解密完成后，开标系统公布投标报价、工期、质量目标等内容。</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（六）开标结束</w:t>
      </w:r>
    </w:p>
    <w:p>
      <w:pPr>
        <w:pStyle w:val="10"/>
        <w:kinsoku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招标人宣布本次开标结束。</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 xml:space="preserve"> 5.2.2 不见面开标软硬件要求</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（一）建议电脑配置：4G以上内存，MicrosoftWindows7以上操作系统，正版office软件，及相应的配套硬件设备（摄像头、耳机、麦克风等）。</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（二） 50M 以上网络带宽连接。</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（三）安装浙江省公共资源交易CA签章互认驱动及开标大厅直播播放器。相关软件可在</w:t>
      </w:r>
      <w:r>
        <w:rPr>
          <w:rFonts w:hint="eastAsia" w:ascii="宋体" w:hAnsi="宋体"/>
          <w:b/>
          <w:bCs/>
          <w:iCs/>
          <w:color w:val="auto"/>
          <w:sz w:val="21"/>
          <w:szCs w:val="21"/>
          <w:highlight w:val="none"/>
          <w:u w:val="single"/>
        </w:rPr>
        <w:t>越城区人民政府网公共资源交易栏目</w:t>
      </w:r>
      <w:r>
        <w:rPr>
          <w:rFonts w:hint="eastAsia" w:ascii="宋体" w:hAnsi="宋体"/>
          <w:color w:val="auto"/>
          <w:sz w:val="21"/>
          <w:szCs w:val="21"/>
          <w:highlight w:val="none"/>
        </w:rPr>
        <w:t>下载专区页面下载。</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（四）使用MicrosoftInternetExplorer11（IE 11）及以上浏览器，加入可信任站点，添加兼容性视图设置修改 Activex控件和插件设置，关闭弹出窗口拦截。</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5.2.3 特殊情况的处置</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1、特殊情况的处置</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（一）因网络、系统、电力等不可抗力因素延期开标的，需更新制作投标文件并按招标文件要求重新递交。</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（二）因电子交易系统故障、投标人数量过多等非投标人原因，导致投标文件不能在规定时间内完成解密的，招标人可向监管部门申请并征得同意后延长解密时间，告知在线的投标人。</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（三）投标人电脑终端的硬件设备和软件系统配置必须符合不见面开标技术要求并运行正常，否则投标人自行承担不利后果。</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2、开标特别说明</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（一）开标解密使用投标人上传的加密电子投标文件。</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（二）因投标人原因造成其电子文件未解密的，视为撤销其投标文件；投标截止时间前未完成投标文件传输的，视为撤回其投标文件；因投标人之外的原因造成电子投标文件未解密的，视为撤回其投标文件。</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（三）部分投标人的电子文件无法解密的，其他投标文件的开标可以继续进行。</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（四）投标人必须使用生成电子文件的CA数字证书解密电子投标文件。（投标人应特别注意CA数字证书的有效性，包括但不限于以下情形：1.介质CA数字证书延期、补办后，虽硬件介质不变但证书 Key 号发生改变，视为不同证书，会导致开标时无法解密投标文件。2.移动CA数字证书需在有效期内进行续费操作，过期后只能重新申领，重新申领的移动CA数字证书不能解密申领之前加密的投标文件。）</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（五）投标人应实时关注不见面开标系统页面，观看开标全过程，并根据需要，使用不见面</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开标系统与招标人进行互动交流、澄清、异议、投标文件解密等活动。投标人登录不见面开标系统，参与在线开标活动，均被视为是投标人的法定代表人或其委托代理人，承担相应的法律责任。</w:t>
      </w:r>
    </w:p>
    <w:p>
      <w:pPr>
        <w:pStyle w:val="10"/>
        <w:kinsoku w:val="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未及时登录不见面开标系统参与在线开标，投标人将无法及时获取解密指令、废标、澄清、唱标、评审结果等实时情况。投标人应自行承担由此引起的相关风险。</w:t>
      </w:r>
    </w:p>
    <w:p>
      <w:pPr>
        <w:numPr>
          <w:ilvl w:val="1"/>
          <w:numId w:val="25"/>
        </w:numPr>
        <w:spacing w:line="360" w:lineRule="auto"/>
        <w:ind w:left="0" w:firstLine="236" w:firstLineChars="98"/>
        <w:rPr>
          <w:rFonts w:ascii="宋体" w:hAnsi="宋体"/>
          <w:b/>
          <w:color w:val="auto"/>
          <w:sz w:val="24"/>
          <w:szCs w:val="24"/>
          <w:highlight w:val="none"/>
        </w:rPr>
      </w:pPr>
      <w:bookmarkStart w:id="133" w:name="bookmark57"/>
      <w:bookmarkEnd w:id="133"/>
      <w:r>
        <w:rPr>
          <w:rFonts w:hint="eastAsia" w:ascii="宋体" w:hAnsi="宋体"/>
          <w:b/>
          <w:color w:val="auto"/>
          <w:sz w:val="24"/>
          <w:szCs w:val="24"/>
          <w:highlight w:val="none"/>
        </w:rPr>
        <w:t>开标异议</w:t>
      </w:r>
    </w:p>
    <w:p>
      <w:pPr>
        <w:pStyle w:val="10"/>
        <w:kinsoku w:val="0"/>
        <w:snapToGrid w:val="0"/>
        <w:spacing w:before="0" w:beforeAutospacing="0" w:after="0" w:afterAutospacing="0" w:line="360" w:lineRule="auto"/>
        <w:ind w:left="0"/>
        <w:jc w:val="both"/>
        <w:rPr>
          <w:rFonts w:hAnsi="宋体"/>
          <w:color w:val="auto"/>
          <w:sz w:val="21"/>
          <w:szCs w:val="21"/>
          <w:highlight w:val="none"/>
        </w:rPr>
      </w:pPr>
      <w:r>
        <w:rPr>
          <w:rFonts w:hint="eastAsia" w:ascii="宋体" w:hAnsi="宋体"/>
          <w:color w:val="auto"/>
          <w:sz w:val="21"/>
          <w:szCs w:val="21"/>
          <w:highlight w:val="none"/>
        </w:rPr>
        <w:t>投标人对开标有异议的，应当在开标时提出，招标人当场作出答复，并制作记录。</w:t>
      </w:r>
    </w:p>
    <w:p>
      <w:pPr>
        <w:numPr>
          <w:ilvl w:val="1"/>
          <w:numId w:val="25"/>
        </w:numPr>
        <w:spacing w:line="360" w:lineRule="auto"/>
        <w:ind w:left="0" w:firstLine="236" w:firstLineChars="98"/>
        <w:rPr>
          <w:rFonts w:ascii="宋体" w:hAnsi="宋体"/>
          <w:b/>
          <w:color w:val="auto"/>
          <w:sz w:val="24"/>
          <w:szCs w:val="24"/>
          <w:highlight w:val="none"/>
        </w:rPr>
      </w:pPr>
      <w:r>
        <w:rPr>
          <w:rFonts w:hint="eastAsia" w:ascii="宋体" w:hAnsi="宋体"/>
          <w:b/>
          <w:color w:val="auto"/>
          <w:sz w:val="24"/>
          <w:szCs w:val="24"/>
          <w:highlight w:val="none"/>
        </w:rPr>
        <w:t>特殊情况处置</w:t>
      </w:r>
    </w:p>
    <w:p>
      <w:pPr>
        <w:pStyle w:val="10"/>
        <w:kinsoku w:val="0"/>
        <w:snapToGrid w:val="0"/>
        <w:spacing w:before="0" w:beforeAutospacing="0" w:after="0" w:afterAutospacing="0" w:line="360" w:lineRule="auto"/>
        <w:ind w:left="0" w:firstLine="420" w:firstLineChars="200"/>
        <w:jc w:val="both"/>
        <w:rPr>
          <w:rFonts w:hAnsi="宋体"/>
          <w:color w:val="auto"/>
          <w:sz w:val="21"/>
          <w:szCs w:val="21"/>
          <w:highlight w:val="none"/>
        </w:rPr>
      </w:pPr>
      <w:r>
        <w:rPr>
          <w:rFonts w:hint="eastAsia" w:ascii="宋体" w:hAnsi="宋体"/>
          <w:color w:val="auto"/>
          <w:sz w:val="21"/>
          <w:szCs w:val="21"/>
          <w:highlight w:val="none"/>
        </w:rPr>
        <w:t>见投标人须知前附表</w:t>
      </w:r>
    </w:p>
    <w:p>
      <w:pPr>
        <w:spacing w:line="360" w:lineRule="auto"/>
        <w:rPr>
          <w:rFonts w:ascii="宋体" w:hAnsi="宋体"/>
          <w:b/>
          <w:color w:val="auto"/>
          <w:sz w:val="30"/>
          <w:szCs w:val="30"/>
          <w:highlight w:val="none"/>
        </w:rPr>
      </w:pPr>
      <w:bookmarkStart w:id="134" w:name="bookmark58"/>
      <w:bookmarkEnd w:id="134"/>
      <w:r>
        <w:rPr>
          <w:rFonts w:hint="eastAsia" w:ascii="宋体" w:hAnsi="宋体"/>
          <w:b/>
          <w:color w:val="auto"/>
          <w:sz w:val="30"/>
          <w:szCs w:val="30"/>
          <w:highlight w:val="none"/>
        </w:rPr>
        <w:t>6.</w:t>
      </w:r>
      <w:bookmarkStart w:id="135" w:name="_Toc6578"/>
      <w:bookmarkEnd w:id="135"/>
      <w:bookmarkStart w:id="136" w:name="_Toc45697237"/>
      <w:bookmarkEnd w:id="136"/>
      <w:bookmarkStart w:id="137" w:name="_Toc22828073"/>
      <w:r>
        <w:rPr>
          <w:rFonts w:hint="eastAsia" w:ascii="宋体" w:hAnsi="宋体"/>
          <w:b/>
          <w:color w:val="auto"/>
          <w:sz w:val="30"/>
          <w:szCs w:val="30"/>
          <w:highlight w:val="none"/>
        </w:rPr>
        <w:t>评标</w:t>
      </w:r>
      <w:bookmarkEnd w:id="137"/>
    </w:p>
    <w:p>
      <w:pPr>
        <w:numPr>
          <w:ilvl w:val="1"/>
          <w:numId w:val="26"/>
        </w:numPr>
        <w:spacing w:line="360" w:lineRule="auto"/>
        <w:ind w:left="0" w:firstLine="236" w:firstLineChars="98"/>
        <w:rPr>
          <w:rFonts w:ascii="宋体" w:hAnsi="宋体"/>
          <w:b/>
          <w:color w:val="auto"/>
          <w:sz w:val="24"/>
          <w:szCs w:val="24"/>
          <w:highlight w:val="none"/>
        </w:rPr>
      </w:pPr>
      <w:bookmarkStart w:id="138" w:name="bookmark59"/>
      <w:bookmarkEnd w:id="138"/>
      <w:r>
        <w:rPr>
          <w:rFonts w:hint="eastAsia" w:ascii="宋体" w:hAnsi="宋体"/>
          <w:b/>
          <w:color w:val="auto"/>
          <w:sz w:val="24"/>
          <w:szCs w:val="24"/>
          <w:highlight w:val="none"/>
        </w:rPr>
        <w:t>评标委员会</w:t>
      </w:r>
    </w:p>
    <w:p>
      <w:pPr>
        <w:pStyle w:val="1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6.1.1</w:t>
      </w:r>
      <w:r>
        <w:rPr>
          <w:rFonts w:hint="eastAsia" w:ascii="宋体" w:hAnsi="宋体"/>
          <w:color w:val="auto"/>
          <w:spacing w:val="-4"/>
          <w:sz w:val="21"/>
          <w:szCs w:val="21"/>
          <w:highlight w:val="none"/>
        </w:rPr>
        <w:t>评标由招标人依法组建的评标委员会负责。评标委员会由招标人或其委托的招标代理</w:t>
      </w:r>
      <w:r>
        <w:rPr>
          <w:rFonts w:hint="eastAsia" w:ascii="宋体" w:hAnsi="宋体"/>
          <w:color w:val="auto"/>
          <w:spacing w:val="-1"/>
          <w:sz w:val="21"/>
          <w:szCs w:val="21"/>
          <w:highlight w:val="none"/>
        </w:rPr>
        <w:t>机构熟悉相关业务的代表，以及有关技术、经济等方面的专家组成。评标委员会成员人数以及</w:t>
      </w:r>
      <w:r>
        <w:rPr>
          <w:rFonts w:hint="eastAsia" w:ascii="宋体" w:hAnsi="宋体"/>
          <w:color w:val="auto"/>
          <w:sz w:val="21"/>
          <w:szCs w:val="21"/>
          <w:highlight w:val="none"/>
        </w:rPr>
        <w:t>技术、经济等方面专家的确定方式见投标人须知前附表。</w:t>
      </w:r>
    </w:p>
    <w:p>
      <w:pPr>
        <w:numPr>
          <w:ilvl w:val="1"/>
          <w:numId w:val="26"/>
        </w:numPr>
        <w:spacing w:line="360" w:lineRule="auto"/>
        <w:ind w:left="0" w:firstLine="236" w:firstLineChars="98"/>
        <w:rPr>
          <w:rFonts w:ascii="宋体" w:hAnsi="宋体"/>
          <w:b/>
          <w:color w:val="auto"/>
          <w:sz w:val="24"/>
          <w:szCs w:val="24"/>
          <w:highlight w:val="none"/>
        </w:rPr>
      </w:pPr>
      <w:bookmarkStart w:id="139" w:name="bookmark60"/>
      <w:bookmarkEnd w:id="139"/>
      <w:r>
        <w:rPr>
          <w:rFonts w:hint="eastAsia" w:ascii="宋体" w:hAnsi="宋体"/>
          <w:b/>
          <w:color w:val="auto"/>
          <w:sz w:val="24"/>
          <w:szCs w:val="24"/>
          <w:highlight w:val="none"/>
        </w:rPr>
        <w:t>评标原则</w:t>
      </w:r>
    </w:p>
    <w:p>
      <w:pPr>
        <w:pStyle w:val="1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评标活动遵循公平、公正、科学和择优的原则。</w:t>
      </w:r>
    </w:p>
    <w:p>
      <w:pPr>
        <w:numPr>
          <w:ilvl w:val="1"/>
          <w:numId w:val="26"/>
        </w:numPr>
        <w:spacing w:line="360" w:lineRule="auto"/>
        <w:ind w:left="0" w:firstLine="236" w:firstLineChars="98"/>
        <w:rPr>
          <w:rFonts w:ascii="宋体" w:hAnsi="宋体"/>
          <w:b/>
          <w:color w:val="auto"/>
          <w:sz w:val="24"/>
          <w:szCs w:val="24"/>
          <w:highlight w:val="none"/>
        </w:rPr>
      </w:pPr>
      <w:bookmarkStart w:id="140" w:name="bookmark61"/>
      <w:bookmarkEnd w:id="140"/>
      <w:r>
        <w:rPr>
          <w:rFonts w:hint="eastAsia" w:ascii="宋体" w:hAnsi="宋体"/>
          <w:b/>
          <w:color w:val="auto"/>
          <w:sz w:val="24"/>
          <w:szCs w:val="24"/>
          <w:highlight w:val="none"/>
        </w:rPr>
        <w:t>评标</w:t>
      </w:r>
    </w:p>
    <w:p>
      <w:pPr>
        <w:pStyle w:val="1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6.3.1评标委员会按照第三章“评标办法”规定的方法、评审因素、标准和程序对投标文件进行评审。第三章“评标办法”没有规定的方法、评审因素和标准，不作为评标依据。</w:t>
      </w:r>
    </w:p>
    <w:p>
      <w:pPr>
        <w:pStyle w:val="10"/>
        <w:snapToGrid w:val="0"/>
        <w:spacing w:before="0" w:beforeAutospacing="0" w:after="0" w:afterAutospacing="0" w:line="360" w:lineRule="auto"/>
        <w:ind w:left="0" w:firstLine="420" w:firstLineChars="200"/>
        <w:jc w:val="both"/>
        <w:rPr>
          <w:rFonts w:ascii="宋体" w:hAnsi="宋体"/>
          <w:color w:val="auto"/>
          <w:sz w:val="21"/>
          <w:szCs w:val="21"/>
          <w:highlight w:val="none"/>
        </w:rPr>
      </w:pPr>
      <w:r>
        <w:rPr>
          <w:rFonts w:hint="eastAsia" w:ascii="宋体" w:hAnsi="宋体"/>
          <w:color w:val="auto"/>
          <w:sz w:val="21"/>
          <w:szCs w:val="21"/>
          <w:highlight w:val="none"/>
        </w:rPr>
        <w:t>6.3.2评标完成后，评标委员会应当向招标人提交书面评标报告和中标候选人名单。评标委员会推荐中标候选人的人数见投标人须知前附表。</w:t>
      </w:r>
    </w:p>
    <w:p>
      <w:pPr>
        <w:spacing w:line="360" w:lineRule="auto"/>
        <w:rPr>
          <w:rFonts w:ascii="宋体" w:hAnsi="宋体"/>
          <w:b/>
          <w:color w:val="auto"/>
          <w:sz w:val="30"/>
          <w:szCs w:val="30"/>
          <w:highlight w:val="none"/>
        </w:rPr>
      </w:pPr>
      <w:bookmarkStart w:id="141" w:name="_Toc45697238"/>
      <w:bookmarkEnd w:id="141"/>
      <w:bookmarkStart w:id="142" w:name="_Toc22898"/>
      <w:bookmarkEnd w:id="142"/>
      <w:bookmarkStart w:id="143" w:name="bookmark62"/>
      <w:bookmarkEnd w:id="143"/>
      <w:bookmarkStart w:id="144" w:name="_Toc22828074"/>
      <w:r>
        <w:rPr>
          <w:rFonts w:hint="eastAsia" w:ascii="宋体" w:hAnsi="宋体"/>
          <w:b/>
          <w:color w:val="auto"/>
          <w:sz w:val="30"/>
          <w:szCs w:val="30"/>
          <w:highlight w:val="none"/>
        </w:rPr>
        <w:t>7.合同授予</w:t>
      </w:r>
      <w:bookmarkEnd w:id="144"/>
    </w:p>
    <w:p>
      <w:pPr>
        <w:numPr>
          <w:ilvl w:val="1"/>
          <w:numId w:val="27"/>
        </w:numPr>
        <w:spacing w:line="360" w:lineRule="auto"/>
        <w:ind w:left="0" w:firstLine="236" w:firstLineChars="98"/>
        <w:rPr>
          <w:rFonts w:ascii="宋体" w:hAnsi="宋体"/>
          <w:b/>
          <w:color w:val="auto"/>
          <w:sz w:val="24"/>
          <w:szCs w:val="24"/>
          <w:highlight w:val="none"/>
        </w:rPr>
      </w:pPr>
      <w:bookmarkStart w:id="145" w:name="bookmark63"/>
      <w:bookmarkEnd w:id="145"/>
      <w:bookmarkStart w:id="146" w:name="bookmark66"/>
      <w:bookmarkEnd w:id="146"/>
      <w:r>
        <w:rPr>
          <w:rFonts w:hint="eastAsia" w:ascii="宋体" w:hAnsi="宋体"/>
          <w:b/>
          <w:color w:val="auto"/>
          <w:sz w:val="24"/>
          <w:szCs w:val="24"/>
          <w:highlight w:val="none"/>
        </w:rPr>
        <w:t>中标候选人公示媒介及期限</w:t>
      </w:r>
    </w:p>
    <w:p>
      <w:pPr>
        <w:pStyle w:val="10"/>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中标候选人公示媒介及期限见投标人须知前附表。</w:t>
      </w:r>
    </w:p>
    <w:p>
      <w:pPr>
        <w:numPr>
          <w:ilvl w:val="1"/>
          <w:numId w:val="27"/>
        </w:numPr>
        <w:spacing w:line="360" w:lineRule="auto"/>
        <w:ind w:left="0" w:firstLine="236" w:firstLineChars="98"/>
        <w:rPr>
          <w:rFonts w:ascii="宋体" w:hAnsi="宋体"/>
          <w:b/>
          <w:color w:val="auto"/>
          <w:sz w:val="24"/>
          <w:szCs w:val="24"/>
          <w:highlight w:val="none"/>
        </w:rPr>
      </w:pPr>
      <w:bookmarkStart w:id="147" w:name="bookmark67"/>
      <w:bookmarkEnd w:id="147"/>
      <w:r>
        <w:rPr>
          <w:rFonts w:hint="eastAsia" w:ascii="宋体" w:hAnsi="宋体"/>
          <w:b/>
          <w:color w:val="auto"/>
          <w:sz w:val="24"/>
          <w:szCs w:val="24"/>
          <w:highlight w:val="none"/>
        </w:rPr>
        <w:t>定标方式</w:t>
      </w:r>
    </w:p>
    <w:p>
      <w:pPr>
        <w:pStyle w:val="15"/>
        <w:widowControl/>
        <w:spacing w:line="360" w:lineRule="auto"/>
        <w:ind w:firstLine="480"/>
        <w:rPr>
          <w:rFonts w:hAnsi="宋体"/>
          <w:b/>
          <w:bCs/>
          <w:color w:val="auto"/>
          <w:sz w:val="21"/>
          <w:szCs w:val="21"/>
          <w:highlight w:val="none"/>
        </w:rPr>
      </w:pPr>
      <w:r>
        <w:rPr>
          <w:rFonts w:hint="eastAsia" w:hAnsi="宋体"/>
          <w:b/>
          <w:bCs/>
          <w:color w:val="auto"/>
          <w:sz w:val="21"/>
          <w:szCs w:val="21"/>
          <w:highlight w:val="none"/>
        </w:rPr>
        <w:t>按前附表“10.</w:t>
      </w:r>
      <w:r>
        <w:rPr>
          <w:rFonts w:hint="eastAsia" w:hAnsi="宋体"/>
          <w:b/>
          <w:bCs/>
          <w:color w:val="auto"/>
          <w:sz w:val="21"/>
          <w:szCs w:val="21"/>
          <w:highlight w:val="none"/>
          <w:lang w:val="en-US" w:eastAsia="zh-CN"/>
        </w:rPr>
        <w:t>10</w:t>
      </w:r>
      <w:r>
        <w:rPr>
          <w:rFonts w:hint="eastAsia" w:hAnsi="宋体"/>
          <w:b/>
          <w:bCs/>
          <w:color w:val="auto"/>
          <w:sz w:val="21"/>
          <w:szCs w:val="21"/>
          <w:highlight w:val="none"/>
        </w:rPr>
        <w:t>”执行。</w:t>
      </w:r>
    </w:p>
    <w:p>
      <w:pPr>
        <w:numPr>
          <w:ilvl w:val="1"/>
          <w:numId w:val="27"/>
        </w:numPr>
        <w:spacing w:line="360" w:lineRule="auto"/>
        <w:ind w:left="0" w:firstLine="236" w:firstLineChars="98"/>
        <w:rPr>
          <w:rFonts w:ascii="宋体" w:hAnsi="宋体"/>
          <w:b/>
          <w:color w:val="auto"/>
          <w:sz w:val="24"/>
          <w:szCs w:val="24"/>
          <w:highlight w:val="none"/>
        </w:rPr>
      </w:pPr>
      <w:r>
        <w:rPr>
          <w:rFonts w:hint="eastAsia" w:ascii="宋体" w:hAnsi="宋体"/>
          <w:b/>
          <w:color w:val="auto"/>
          <w:sz w:val="24"/>
          <w:szCs w:val="24"/>
          <w:highlight w:val="none"/>
        </w:rPr>
        <w:t>中标通知</w:t>
      </w:r>
    </w:p>
    <w:p>
      <w:pPr>
        <w:pStyle w:val="10"/>
        <w:kinsoku w:val="0"/>
        <w:snapToGrid w:val="0"/>
        <w:spacing w:before="0" w:beforeAutospacing="0" w:after="0" w:afterAutospacing="0" w:line="360" w:lineRule="auto"/>
        <w:ind w:left="0" w:firstLine="420" w:firstLineChars="200"/>
        <w:rPr>
          <w:rFonts w:hAnsi="宋体"/>
          <w:color w:val="auto"/>
          <w:sz w:val="21"/>
          <w:szCs w:val="21"/>
          <w:highlight w:val="none"/>
        </w:rPr>
      </w:pPr>
      <w:r>
        <w:rPr>
          <w:rFonts w:hint="eastAsia" w:ascii="宋体" w:hAnsi="宋体"/>
          <w:color w:val="auto"/>
          <w:sz w:val="21"/>
          <w:szCs w:val="21"/>
          <w:highlight w:val="none"/>
        </w:rPr>
        <w:t>在本章第</w:t>
      </w:r>
      <w:r>
        <w:rPr>
          <w:rFonts w:hAnsi="宋体"/>
          <w:color w:val="auto"/>
          <w:sz w:val="21"/>
          <w:szCs w:val="21"/>
          <w:highlight w:val="none"/>
        </w:rPr>
        <w:t>3.3</w:t>
      </w:r>
      <w:r>
        <w:rPr>
          <w:rFonts w:hint="eastAsia" w:ascii="宋体" w:hAnsi="宋体"/>
          <w:color w:val="auto"/>
          <w:sz w:val="21"/>
          <w:szCs w:val="21"/>
          <w:highlight w:val="none"/>
        </w:rPr>
        <w:t>款规定的投标有效期内，招标人以书面形式向中标人发出中标通知书，同时将中标结果通知未中标的投标人。</w:t>
      </w:r>
    </w:p>
    <w:p>
      <w:pPr>
        <w:numPr>
          <w:ilvl w:val="1"/>
          <w:numId w:val="27"/>
        </w:numPr>
        <w:spacing w:line="360" w:lineRule="auto"/>
        <w:ind w:left="0" w:firstLine="236" w:firstLineChars="98"/>
        <w:rPr>
          <w:rFonts w:ascii="宋体" w:hAnsi="宋体"/>
          <w:b/>
          <w:color w:val="auto"/>
          <w:sz w:val="24"/>
          <w:szCs w:val="24"/>
          <w:highlight w:val="none"/>
        </w:rPr>
      </w:pPr>
      <w:bookmarkStart w:id="148" w:name="bookmark68"/>
      <w:bookmarkEnd w:id="148"/>
      <w:bookmarkStart w:id="149" w:name="bookmark69"/>
      <w:bookmarkEnd w:id="149"/>
      <w:r>
        <w:rPr>
          <w:rFonts w:hint="eastAsia" w:ascii="宋体" w:hAnsi="宋体"/>
          <w:b/>
          <w:color w:val="auto"/>
          <w:sz w:val="24"/>
          <w:szCs w:val="24"/>
          <w:highlight w:val="none"/>
        </w:rPr>
        <w:t>履约担保</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7.4.1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7.4.2中标人不能按本章第7.4.1项要求提交履约担保的，视为放弃中标，其投标保证金不予退还，给招标人造成的损失超过投标保证金数额的，中标人还应当对超过部分予以赔偿。</w:t>
      </w:r>
    </w:p>
    <w:p>
      <w:pPr>
        <w:numPr>
          <w:ilvl w:val="1"/>
          <w:numId w:val="27"/>
        </w:numPr>
        <w:spacing w:line="360" w:lineRule="auto"/>
        <w:ind w:left="0" w:firstLine="236" w:firstLineChars="98"/>
        <w:rPr>
          <w:rFonts w:ascii="宋体" w:hAnsi="宋体"/>
          <w:b/>
          <w:color w:val="auto"/>
          <w:sz w:val="24"/>
          <w:szCs w:val="24"/>
          <w:highlight w:val="none"/>
        </w:rPr>
      </w:pPr>
      <w:bookmarkStart w:id="150" w:name="bookmark70"/>
      <w:bookmarkEnd w:id="150"/>
      <w:r>
        <w:rPr>
          <w:rFonts w:hint="eastAsia" w:ascii="宋体" w:hAnsi="宋体"/>
          <w:b/>
          <w:color w:val="auto"/>
          <w:sz w:val="24"/>
          <w:szCs w:val="24"/>
          <w:highlight w:val="none"/>
        </w:rPr>
        <w:t>签订合同</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7.5.1招标人和中标人应当在中标通知书发出之日起30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7.5.2发出中标通知书后，招标人无正当理由拒签合同，招标人向中标人退还投标保证金；给中标人造成损失的，还应当赔偿损失。</w:t>
      </w:r>
    </w:p>
    <w:p>
      <w:pPr>
        <w:pStyle w:val="10"/>
        <w:kinsoku w:val="0"/>
        <w:snapToGrid w:val="0"/>
        <w:spacing w:before="0" w:beforeAutospacing="0" w:after="0" w:afterAutospacing="0" w:line="360" w:lineRule="auto"/>
        <w:ind w:left="0" w:firstLine="420" w:firstLineChars="200"/>
        <w:rPr>
          <w:rFonts w:ascii="宋体" w:hAnsi="宋体"/>
          <w:color w:val="auto"/>
          <w:sz w:val="21"/>
          <w:szCs w:val="21"/>
          <w:highlight w:val="none"/>
        </w:rPr>
      </w:pPr>
      <w:r>
        <w:rPr>
          <w:rFonts w:hint="eastAsia" w:ascii="宋体" w:hAnsi="宋体"/>
          <w:color w:val="auto"/>
          <w:sz w:val="21"/>
          <w:szCs w:val="21"/>
          <w:highlight w:val="none"/>
        </w:rPr>
        <w:t>7.5.3联合体中标的，联合体各方应当共同与招标人签订合同，就中标项目向招标人承担连带责任。</w:t>
      </w:r>
    </w:p>
    <w:p>
      <w:pPr>
        <w:spacing w:line="360" w:lineRule="auto"/>
        <w:rPr>
          <w:rFonts w:ascii="宋体" w:hAnsi="宋体"/>
          <w:b/>
          <w:color w:val="auto"/>
          <w:sz w:val="30"/>
          <w:szCs w:val="30"/>
          <w:highlight w:val="none"/>
        </w:rPr>
      </w:pPr>
      <w:bookmarkStart w:id="151" w:name="_Toc29433"/>
      <w:bookmarkEnd w:id="151"/>
      <w:bookmarkStart w:id="152" w:name="_Toc494121485"/>
      <w:bookmarkEnd w:id="152"/>
      <w:bookmarkStart w:id="153" w:name="_Toc45697239"/>
      <w:bookmarkEnd w:id="153"/>
      <w:bookmarkStart w:id="154" w:name="bookmark71"/>
      <w:bookmarkEnd w:id="154"/>
      <w:bookmarkStart w:id="155" w:name="_Toc22828075"/>
      <w:r>
        <w:rPr>
          <w:rFonts w:hint="eastAsia" w:ascii="宋体" w:hAnsi="宋体"/>
          <w:b/>
          <w:color w:val="auto"/>
          <w:sz w:val="30"/>
          <w:szCs w:val="30"/>
          <w:highlight w:val="none"/>
        </w:rPr>
        <w:t>8.重新招标和不再招标</w:t>
      </w:r>
      <w:bookmarkEnd w:id="155"/>
    </w:p>
    <w:p>
      <w:pPr>
        <w:numPr>
          <w:ilvl w:val="1"/>
          <w:numId w:val="28"/>
        </w:numPr>
        <w:spacing w:line="360" w:lineRule="auto"/>
        <w:ind w:left="0" w:firstLine="236" w:firstLineChars="98"/>
        <w:rPr>
          <w:rFonts w:ascii="宋体" w:hAnsi="宋体"/>
          <w:b/>
          <w:color w:val="auto"/>
          <w:sz w:val="24"/>
          <w:szCs w:val="24"/>
          <w:highlight w:val="none"/>
        </w:rPr>
      </w:pPr>
      <w:r>
        <w:rPr>
          <w:rFonts w:hint="eastAsia" w:ascii="宋体" w:hAnsi="宋体"/>
          <w:b/>
          <w:color w:val="auto"/>
          <w:sz w:val="24"/>
          <w:szCs w:val="24"/>
          <w:highlight w:val="none"/>
        </w:rPr>
        <w:t>重新招标</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有下列情形之一的，招标人将重新招标：</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（1）投标截止时间止，投标人少于3个的；</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（2）经评标委员会评审后否决所有投标的；</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（3）其他情形见须知前附表。</w:t>
      </w:r>
    </w:p>
    <w:p>
      <w:pPr>
        <w:numPr>
          <w:ilvl w:val="1"/>
          <w:numId w:val="28"/>
        </w:numPr>
        <w:spacing w:line="360" w:lineRule="auto"/>
        <w:ind w:left="0" w:firstLine="236" w:firstLineChars="98"/>
        <w:rPr>
          <w:rFonts w:ascii="宋体" w:hAnsi="宋体"/>
          <w:b/>
          <w:color w:val="auto"/>
          <w:sz w:val="24"/>
          <w:szCs w:val="24"/>
          <w:highlight w:val="none"/>
        </w:rPr>
      </w:pPr>
      <w:r>
        <w:rPr>
          <w:rFonts w:hint="eastAsia" w:ascii="宋体" w:hAnsi="宋体"/>
          <w:b/>
          <w:color w:val="auto"/>
          <w:sz w:val="24"/>
          <w:szCs w:val="24"/>
          <w:highlight w:val="none"/>
        </w:rPr>
        <w:t>不再招标</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见须知前附表。</w:t>
      </w:r>
    </w:p>
    <w:p>
      <w:pPr>
        <w:spacing w:line="360" w:lineRule="auto"/>
        <w:rPr>
          <w:rFonts w:ascii="宋体" w:hAnsi="宋体"/>
          <w:b/>
          <w:color w:val="auto"/>
          <w:sz w:val="30"/>
          <w:szCs w:val="30"/>
          <w:highlight w:val="none"/>
        </w:rPr>
      </w:pPr>
      <w:bookmarkStart w:id="156" w:name="bookmark77"/>
      <w:bookmarkEnd w:id="156"/>
      <w:bookmarkStart w:id="157" w:name="_Toc14014"/>
      <w:bookmarkEnd w:id="157"/>
      <w:bookmarkStart w:id="158" w:name="_Toc494121486"/>
      <w:bookmarkEnd w:id="158"/>
      <w:bookmarkStart w:id="159" w:name="_Toc45697240"/>
      <w:bookmarkEnd w:id="159"/>
      <w:bookmarkStart w:id="160" w:name="_Toc22828076"/>
      <w:r>
        <w:rPr>
          <w:rFonts w:hint="eastAsia" w:ascii="宋体" w:hAnsi="宋体"/>
          <w:b/>
          <w:color w:val="auto"/>
          <w:sz w:val="30"/>
          <w:szCs w:val="30"/>
          <w:highlight w:val="none"/>
        </w:rPr>
        <w:t>9.纪律和监督</w:t>
      </w:r>
      <w:bookmarkEnd w:id="160"/>
    </w:p>
    <w:p>
      <w:pPr>
        <w:numPr>
          <w:ilvl w:val="1"/>
          <w:numId w:val="29"/>
        </w:numPr>
        <w:spacing w:line="360" w:lineRule="auto"/>
        <w:ind w:left="0" w:firstLine="236" w:firstLineChars="98"/>
        <w:rPr>
          <w:rFonts w:ascii="宋体" w:hAnsi="宋体"/>
          <w:b/>
          <w:color w:val="auto"/>
          <w:sz w:val="24"/>
          <w:szCs w:val="24"/>
          <w:highlight w:val="none"/>
        </w:rPr>
      </w:pPr>
      <w:r>
        <w:rPr>
          <w:rFonts w:hint="eastAsia" w:ascii="宋体" w:hAnsi="宋体"/>
          <w:b/>
          <w:color w:val="auto"/>
          <w:sz w:val="24"/>
          <w:szCs w:val="24"/>
          <w:highlight w:val="none"/>
        </w:rPr>
        <w:t>对招标人的纪律要求</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招标人不得泄漏招标投标活动中应当保密的情况和资料，不得与投标人串通损害国家利益、社会公共利益或者他人合法权益。</w:t>
      </w:r>
    </w:p>
    <w:p>
      <w:pPr>
        <w:numPr>
          <w:ilvl w:val="1"/>
          <w:numId w:val="29"/>
        </w:numPr>
        <w:spacing w:line="360" w:lineRule="auto"/>
        <w:ind w:left="0" w:firstLine="236" w:firstLineChars="98"/>
        <w:rPr>
          <w:rFonts w:ascii="宋体" w:hAnsi="宋体"/>
          <w:b/>
          <w:color w:val="auto"/>
          <w:sz w:val="24"/>
          <w:szCs w:val="24"/>
          <w:highlight w:val="none"/>
        </w:rPr>
      </w:pPr>
      <w:r>
        <w:rPr>
          <w:rFonts w:hint="eastAsia" w:ascii="宋体" w:hAnsi="宋体"/>
          <w:b/>
          <w:color w:val="auto"/>
          <w:sz w:val="24"/>
          <w:szCs w:val="24"/>
          <w:highlight w:val="none"/>
        </w:rPr>
        <w:t>对投标人的纪律要求</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left="235" w:leftChars="98"/>
        <w:rPr>
          <w:rFonts w:ascii="宋体" w:hAnsi="宋体"/>
          <w:b/>
          <w:color w:val="auto"/>
          <w:sz w:val="24"/>
          <w:szCs w:val="24"/>
          <w:highlight w:val="none"/>
        </w:rPr>
      </w:pPr>
      <w:r>
        <w:rPr>
          <w:rFonts w:hint="eastAsia" w:ascii="宋体" w:hAnsi="宋体"/>
          <w:b/>
          <w:color w:val="auto"/>
          <w:sz w:val="24"/>
          <w:szCs w:val="24"/>
          <w:highlight w:val="none"/>
        </w:rPr>
        <w:t>9.3 对评标委员会（定标委员会）成员的纪律要求</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left="235" w:leftChars="98"/>
        <w:rPr>
          <w:rFonts w:ascii="宋体" w:hAnsi="宋体"/>
          <w:b/>
          <w:color w:val="auto"/>
          <w:sz w:val="24"/>
          <w:szCs w:val="24"/>
          <w:highlight w:val="none"/>
        </w:rPr>
      </w:pPr>
      <w:r>
        <w:rPr>
          <w:rFonts w:hint="eastAsia" w:ascii="宋体" w:hAnsi="宋体"/>
          <w:b/>
          <w:color w:val="auto"/>
          <w:sz w:val="24"/>
          <w:szCs w:val="24"/>
          <w:highlight w:val="none"/>
        </w:rPr>
        <w:t>9.4 对与评标活动有关的工作人员的纪律要求</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left="235" w:leftChars="98"/>
        <w:rPr>
          <w:rFonts w:ascii="宋体" w:hAnsi="宋体"/>
          <w:b/>
          <w:color w:val="auto"/>
          <w:sz w:val="24"/>
          <w:szCs w:val="24"/>
          <w:highlight w:val="none"/>
        </w:rPr>
      </w:pPr>
      <w:r>
        <w:rPr>
          <w:rFonts w:hint="eastAsia" w:ascii="宋体" w:hAnsi="宋体"/>
          <w:b/>
          <w:color w:val="auto"/>
          <w:sz w:val="24"/>
          <w:szCs w:val="24"/>
          <w:highlight w:val="none"/>
        </w:rPr>
        <w:t>9.5 异议和投诉</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9.5.1异议</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（1）潜在投标人或者其他利害关系人对招标文件有异议的，应当在投标截止时间10日前以书面形式向招标人提出。招标人将在收到异议之日起3日内作出书面答复；作出答复前，暂停招标投标活动。</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（2）投标人认为开标不符合有关规定的，应当在开标时提出异议。招标人将当场对异议给予处理或者告知处理的办法。异议和答复应记入开标记录或者制作专门记录以存档备查。</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（3）投标人及其他利害关系人对评标结果有异议的，应当在中标候选人公示期内以书面形式向招标人提出。招标人将在收到异议之日起3日内作出书面答复；作出答复前，暂停招标投标活动。</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9.5.2投诉</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或者其他利害关系人认为招标投标活动不符合法律、行政法规和招标文件规定的，可以自知道或者应当知道之日起10日内向有关行政监督部门投诉。投诉应当有明确的请求和必要的证明资料，具体要求按国家、省及当地招投标主管部门制定的规定。就招标文件、开标和评标结果投诉的，应当先向招标人提出异议，异议答复期不计算在前款规定的期限内。</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上述时限最后一日如遇国家法定休假日的，顺延至法定休假日后的第一个工作日。</w:t>
      </w:r>
    </w:p>
    <w:p>
      <w:pPr>
        <w:spacing w:line="360" w:lineRule="auto"/>
        <w:rPr>
          <w:rFonts w:ascii="宋体" w:hAnsi="宋体"/>
          <w:b/>
          <w:color w:val="auto"/>
          <w:sz w:val="30"/>
          <w:szCs w:val="30"/>
          <w:highlight w:val="none"/>
        </w:rPr>
      </w:pPr>
      <w:bookmarkStart w:id="161" w:name="bookmark78"/>
      <w:bookmarkEnd w:id="161"/>
      <w:bookmarkStart w:id="162" w:name="_Toc819"/>
      <w:bookmarkEnd w:id="162"/>
      <w:bookmarkStart w:id="163" w:name="_Toc45697241"/>
      <w:bookmarkEnd w:id="163"/>
      <w:bookmarkStart w:id="164" w:name="_Toc22828077"/>
      <w:r>
        <w:rPr>
          <w:rFonts w:hint="eastAsia" w:ascii="宋体" w:hAnsi="宋体"/>
          <w:b/>
          <w:color w:val="auto"/>
          <w:sz w:val="30"/>
          <w:szCs w:val="30"/>
          <w:highlight w:val="none"/>
        </w:rPr>
        <w:t>10.需要补充的其他内容</w:t>
      </w:r>
      <w:bookmarkEnd w:id="164"/>
    </w:p>
    <w:p>
      <w:pPr>
        <w:pStyle w:val="30"/>
        <w:tabs>
          <w:tab w:val="left" w:pos="1100"/>
          <w:tab w:val="left" w:pos="1809"/>
        </w:tabs>
        <w:spacing w:line="360" w:lineRule="auto"/>
        <w:ind w:left="379" w:leftChars="158" w:right="-53" w:rightChars="-22" w:firstLine="0"/>
        <w:rPr>
          <w:rFonts w:ascii="宋体" w:hAnsi="宋体"/>
          <w:b/>
          <w:color w:val="auto"/>
          <w:kern w:val="16"/>
          <w:sz w:val="21"/>
          <w:szCs w:val="21"/>
          <w:highlight w:val="none"/>
        </w:rPr>
      </w:pPr>
      <w:r>
        <w:rPr>
          <w:rFonts w:hint="eastAsia" w:ascii="宋体" w:hAnsi="宋体"/>
          <w:bCs/>
          <w:color w:val="auto"/>
          <w:kern w:val="16"/>
          <w:sz w:val="21"/>
          <w:szCs w:val="21"/>
          <w:highlight w:val="none"/>
        </w:rPr>
        <w:t>需要补充的其他内容：</w:t>
      </w:r>
      <w:r>
        <w:rPr>
          <w:rFonts w:hint="eastAsia" w:ascii="宋体" w:hAnsi="宋体"/>
          <w:b/>
          <w:color w:val="auto"/>
          <w:kern w:val="16"/>
          <w:sz w:val="21"/>
          <w:szCs w:val="21"/>
          <w:highlight w:val="none"/>
        </w:rPr>
        <w:t>交易服务费由招标人和本次中标人按绍兴市政务服务办公室的相关通知执行，公证费由招标人承担；其余见投标人须知前附表。</w:t>
      </w:r>
    </w:p>
    <w:p>
      <w:pPr>
        <w:pStyle w:val="17"/>
        <w:jc w:val="both"/>
        <w:rPr>
          <w:color w:val="auto"/>
          <w:highlight w:val="none"/>
        </w:rPr>
      </w:pPr>
      <w:bookmarkStart w:id="165" w:name="bookmark79"/>
      <w:bookmarkEnd w:id="165"/>
    </w:p>
    <w:p>
      <w:pPr>
        <w:rPr>
          <w:color w:val="auto"/>
          <w:highlight w:val="none"/>
        </w:rPr>
      </w:pPr>
      <w:r>
        <w:rPr>
          <w:color w:val="auto"/>
          <w:highlight w:val="none"/>
        </w:rPr>
        <w:br w:type="page"/>
      </w:r>
    </w:p>
    <w:p>
      <w:pPr>
        <w:rPr>
          <w:color w:val="auto"/>
          <w:highlight w:val="none"/>
        </w:rPr>
      </w:pPr>
    </w:p>
    <w:p>
      <w:pPr>
        <w:spacing w:line="400" w:lineRule="exact"/>
        <w:ind w:firstLine="120" w:firstLineChars="50"/>
        <w:rPr>
          <w:rFonts w:ascii="黑体" w:eastAsia="黑体"/>
          <w:color w:val="auto"/>
          <w:highlight w:val="none"/>
        </w:rPr>
      </w:pPr>
      <w:r>
        <w:rPr>
          <w:rFonts w:hint="eastAsia" w:ascii="黑体" w:hAnsi="黑体" w:eastAsia="黑体"/>
          <w:color w:val="auto"/>
          <w:highlight w:val="none"/>
        </w:rPr>
        <w:t>附表一：开标记录表</w:t>
      </w:r>
    </w:p>
    <w:p>
      <w:pPr>
        <w:spacing w:before="240" w:beforeLines="100" w:after="240" w:afterLines="100" w:line="400" w:lineRule="exact"/>
        <w:ind w:firstLine="1960" w:firstLineChars="700"/>
        <w:rPr>
          <w:rFonts w:ascii="黑体" w:eastAsia="黑体"/>
          <w:color w:val="auto"/>
          <w:sz w:val="28"/>
          <w:szCs w:val="28"/>
          <w:highlight w:val="none"/>
        </w:rPr>
      </w:pPr>
      <w:r>
        <w:rPr>
          <w:rFonts w:hint="eastAsia" w:ascii="黑体" w:hAnsi="黑体" w:eastAsia="黑体"/>
          <w:color w:val="auto"/>
          <w:sz w:val="28"/>
          <w:szCs w:val="28"/>
          <w:highlight w:val="none"/>
          <w:u w:val="single"/>
        </w:rPr>
        <w:t>（项目名称）</w:t>
      </w:r>
      <w:r>
        <w:rPr>
          <w:rFonts w:hint="eastAsia" w:ascii="黑体" w:hAnsi="黑体" w:eastAsia="黑体"/>
          <w:color w:val="auto"/>
          <w:sz w:val="28"/>
          <w:szCs w:val="28"/>
          <w:highlight w:val="none"/>
        </w:rPr>
        <w:t>标段施工开标记录表</w:t>
      </w:r>
    </w:p>
    <w:p>
      <w:pPr>
        <w:spacing w:line="400" w:lineRule="exact"/>
        <w:ind w:firstLine="120" w:firstLineChars="50"/>
        <w:rPr>
          <w:rFonts w:ascii="黑体" w:eastAsia="黑体"/>
          <w:color w:val="auto"/>
          <w:highlight w:val="none"/>
        </w:rPr>
      </w:pPr>
      <w:r>
        <w:rPr>
          <w:rFonts w:hint="eastAsia" w:ascii="黑体" w:hAnsi="黑体" w:eastAsia="黑体"/>
          <w:color w:val="auto"/>
          <w:highlight w:val="none"/>
        </w:rPr>
        <w:t>开标时间：  年  月  日  时  分</w:t>
      </w:r>
    </w:p>
    <w:p>
      <w:pPr>
        <w:spacing w:line="400" w:lineRule="exact"/>
        <w:ind w:firstLine="120" w:firstLineChars="50"/>
        <w:rPr>
          <w:rFonts w:ascii="黑体" w:eastAsia="黑体"/>
          <w:color w:val="auto"/>
          <w:highlight w:val="none"/>
        </w:rPr>
      </w:pPr>
      <w:r>
        <w:rPr>
          <w:rFonts w:hint="eastAsia" w:ascii="黑体" w:hAnsi="黑体" w:eastAsia="黑体"/>
          <w:color w:val="auto"/>
          <w:highlight w:val="none"/>
        </w:rPr>
        <w:t>开标地点：</w:t>
      </w:r>
    </w:p>
    <w:p>
      <w:pPr>
        <w:spacing w:line="400" w:lineRule="exact"/>
        <w:ind w:firstLine="120" w:firstLineChars="50"/>
        <w:rPr>
          <w:rFonts w:ascii="黑体" w:eastAsia="黑体"/>
          <w:color w:val="auto"/>
          <w:highlight w:val="none"/>
        </w:rPr>
      </w:pPr>
      <w:r>
        <w:rPr>
          <w:rFonts w:hint="eastAsia" w:ascii="黑体" w:hAnsi="黑体" w:eastAsia="黑体"/>
          <w:color w:val="auto"/>
          <w:highlight w:val="none"/>
        </w:rPr>
        <w:t>（一）唱标记录</w:t>
      </w:r>
    </w:p>
    <w:tbl>
      <w:tblPr>
        <w:tblStyle w:val="18"/>
        <w:tblW w:w="9015"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22"/>
        <w:gridCol w:w="1078"/>
        <w:gridCol w:w="1262"/>
        <w:gridCol w:w="1390"/>
        <w:gridCol w:w="1105"/>
        <w:gridCol w:w="748"/>
        <w:gridCol w:w="7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auto"/>
                <w:highlight w:val="none"/>
              </w:rPr>
            </w:pPr>
            <w:r>
              <w:rPr>
                <w:rFonts w:hint="eastAsia" w:ascii="黑体" w:eastAsia="黑体"/>
                <w:color w:val="auto"/>
                <w:highlight w:val="none"/>
              </w:rPr>
              <w:t>序号</w:t>
            </w: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投标人</w:t>
            </w: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加、解密（密封）情况</w:t>
            </w: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投标保证金</w:t>
            </w: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投标报价（元）</w:t>
            </w: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质量目标</w:t>
            </w: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工期</w:t>
            </w: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备注</w:t>
            </w: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r>
              <w:rPr>
                <w:rFonts w:hint="eastAsia" w:ascii="黑体" w:eastAsia="黑体"/>
                <w:color w:val="auto"/>
                <w:highlight w:val="none"/>
              </w:rPr>
              <w:t>签字</w:t>
            </w:r>
          </w:p>
          <w:p>
            <w:pPr>
              <w:jc w:val="center"/>
              <w:rPr>
                <w:rFonts w:ascii="黑体" w:eastAsia="黑体"/>
                <w:color w:val="auto"/>
                <w:highlight w:val="none"/>
              </w:rPr>
            </w:pPr>
            <w:r>
              <w:rPr>
                <w:rFonts w:hint="eastAsia" w:ascii="黑体" w:eastAsia="黑体"/>
                <w:color w:val="auto"/>
                <w:sz w:val="18"/>
                <w:szCs w:val="18"/>
                <w:highlight w:val="none"/>
              </w:rPr>
              <w:t>（不见面开标不作要求）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黑体" w:eastAsia="黑体"/>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p>
        </w:tc>
        <w:tc>
          <w:tcPr>
            <w:tcW w:w="92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7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262"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39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105"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48"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750"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c>
          <w:tcPr>
            <w:tcW w:w="1094" w:type="dxa"/>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66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color w:val="auto"/>
                <w:highlight w:val="none"/>
              </w:rPr>
            </w:pPr>
            <w:r>
              <w:rPr>
                <w:rFonts w:hint="eastAsia"/>
                <w:color w:val="auto"/>
                <w:highlight w:val="none"/>
              </w:rPr>
              <w:t>招标人编制的</w:t>
            </w:r>
          </w:p>
          <w:p>
            <w:pPr>
              <w:spacing w:line="400" w:lineRule="exact"/>
              <w:jc w:val="center"/>
              <w:rPr>
                <w:color w:val="auto"/>
                <w:highlight w:val="none"/>
              </w:rPr>
            </w:pPr>
            <w:r>
              <w:rPr>
                <w:rFonts w:hint="eastAsia"/>
                <w:color w:val="auto"/>
                <w:highlight w:val="none"/>
              </w:rPr>
              <w:t>招标控制价</w:t>
            </w:r>
          </w:p>
        </w:tc>
        <w:tc>
          <w:tcPr>
            <w:tcW w:w="6349" w:type="dxa"/>
            <w:gridSpan w:val="6"/>
            <w:tcBorders>
              <w:top w:val="single" w:color="auto" w:sz="4" w:space="0"/>
              <w:left w:val="nil"/>
              <w:bottom w:val="single" w:color="auto" w:sz="4" w:space="0"/>
              <w:right w:val="single" w:color="auto" w:sz="4" w:space="0"/>
            </w:tcBorders>
            <w:tcMar>
              <w:top w:w="0" w:type="dxa"/>
              <w:bottom w:w="0" w:type="dxa"/>
            </w:tcMar>
            <w:vAlign w:val="center"/>
          </w:tcPr>
          <w:p>
            <w:pPr>
              <w:spacing w:line="400" w:lineRule="exact"/>
              <w:jc w:val="center"/>
              <w:rPr>
                <w:color w:val="auto"/>
                <w:highlight w:val="none"/>
              </w:rPr>
            </w:pPr>
          </w:p>
        </w:tc>
      </w:tr>
    </w:tbl>
    <w:p>
      <w:pPr>
        <w:spacing w:line="400" w:lineRule="exact"/>
        <w:rPr>
          <w:rFonts w:ascii="黑体" w:eastAsia="黑体"/>
          <w:color w:val="auto"/>
          <w:highlight w:val="none"/>
        </w:rPr>
      </w:pPr>
      <w:r>
        <w:rPr>
          <w:rFonts w:hint="eastAsia" w:ascii="黑体" w:hAnsi="黑体" w:eastAsia="黑体"/>
          <w:color w:val="auto"/>
          <w:highlight w:val="none"/>
        </w:rPr>
        <w:t>（二）开标过程中的其他事项记录</w:t>
      </w:r>
    </w:p>
    <w:p>
      <w:pPr>
        <w:spacing w:line="400" w:lineRule="exact"/>
        <w:rPr>
          <w:rFonts w:ascii="黑体" w:eastAsia="黑体"/>
          <w:color w:val="auto"/>
          <w:highlight w:val="none"/>
          <w:u w:val="single"/>
        </w:rPr>
      </w:pPr>
    </w:p>
    <w:p>
      <w:pPr>
        <w:spacing w:line="400" w:lineRule="exact"/>
        <w:rPr>
          <w:rFonts w:ascii="黑体" w:eastAsia="黑体"/>
          <w:color w:val="auto"/>
          <w:highlight w:val="none"/>
          <w:u w:val="single"/>
        </w:rPr>
      </w:pPr>
    </w:p>
    <w:p>
      <w:pPr>
        <w:spacing w:line="400" w:lineRule="exact"/>
        <w:rPr>
          <w:rFonts w:ascii="黑体" w:eastAsia="黑体"/>
          <w:color w:val="auto"/>
          <w:highlight w:val="none"/>
          <w:u w:val="single"/>
        </w:rPr>
      </w:pPr>
    </w:p>
    <w:p>
      <w:pPr>
        <w:spacing w:line="400" w:lineRule="exact"/>
        <w:rPr>
          <w:rFonts w:ascii="等线" w:hAnsi="等线"/>
          <w:color w:val="auto"/>
          <w:sz w:val="22"/>
          <w:szCs w:val="22"/>
          <w:highlight w:val="none"/>
        </w:rPr>
      </w:pPr>
    </w:p>
    <w:p>
      <w:pPr>
        <w:spacing w:line="400" w:lineRule="exact"/>
        <w:rPr>
          <w:rFonts w:ascii="宋体" w:hAnsi="宋体"/>
          <w:color w:val="auto"/>
          <w:highlight w:val="none"/>
        </w:rPr>
      </w:pPr>
    </w:p>
    <w:p>
      <w:pPr>
        <w:spacing w:line="400" w:lineRule="exact"/>
        <w:rPr>
          <w:rFonts w:ascii="黑体" w:hAnsi="黑体" w:eastAsia="黑体"/>
          <w:color w:val="auto"/>
          <w:highlight w:val="none"/>
        </w:rPr>
      </w:pPr>
      <w:r>
        <w:rPr>
          <w:rFonts w:hint="eastAsia" w:ascii="黑体" w:hAnsi="黑体" w:eastAsia="黑体"/>
          <w:color w:val="auto"/>
          <w:highlight w:val="none"/>
        </w:rPr>
        <w:t>（三）出席开标会的单位和人员（附签到表）</w:t>
      </w:r>
    </w:p>
    <w:p>
      <w:pPr>
        <w:spacing w:line="400" w:lineRule="exact"/>
        <w:rPr>
          <w:color w:val="auto"/>
          <w:highlight w:val="none"/>
        </w:rPr>
      </w:pPr>
    </w:p>
    <w:p>
      <w:pPr>
        <w:spacing w:line="400" w:lineRule="exact"/>
        <w:rPr>
          <w:color w:val="auto"/>
          <w:highlight w:val="none"/>
        </w:rPr>
      </w:pPr>
    </w:p>
    <w:p>
      <w:pPr>
        <w:spacing w:line="400" w:lineRule="exact"/>
        <w:rPr>
          <w:rFonts w:ascii="黑体" w:eastAsia="黑体"/>
          <w:color w:val="auto"/>
          <w:highlight w:val="none"/>
          <w:u w:val="single"/>
        </w:rPr>
      </w:pPr>
      <w:r>
        <w:rPr>
          <w:rFonts w:hint="eastAsia" w:ascii="黑体" w:hAnsi="黑体" w:eastAsia="黑体"/>
          <w:color w:val="auto"/>
          <w:highlight w:val="none"/>
        </w:rPr>
        <w:t>招标人代表：　　　　　记录人：　　　　　监标人：</w:t>
      </w:r>
    </w:p>
    <w:p>
      <w:pPr>
        <w:spacing w:line="400" w:lineRule="exact"/>
        <w:rPr>
          <w:color w:val="auto"/>
          <w:highlight w:val="none"/>
        </w:rPr>
      </w:pPr>
    </w:p>
    <w:p>
      <w:pPr>
        <w:spacing w:line="400" w:lineRule="exact"/>
        <w:ind w:firstLine="6000" w:firstLineChars="2500"/>
        <w:rPr>
          <w:color w:val="auto"/>
          <w:highlight w:val="none"/>
        </w:rPr>
      </w:pPr>
      <w:r>
        <w:rPr>
          <w:rFonts w:hint="eastAsia" w:ascii="宋体" w:hAnsi="宋体"/>
          <w:color w:val="auto"/>
          <w:highlight w:val="none"/>
        </w:rPr>
        <w:t>年 　月 　日</w:t>
      </w:r>
    </w:p>
    <w:p>
      <w:pPr>
        <w:spacing w:line="400" w:lineRule="exact"/>
        <w:ind w:firstLine="4320" w:firstLineChars="1800"/>
        <w:rPr>
          <w:color w:val="auto"/>
          <w:highlight w:val="none"/>
        </w:rPr>
      </w:pPr>
    </w:p>
    <w:p>
      <w:pPr>
        <w:spacing w:line="400" w:lineRule="exact"/>
        <w:rPr>
          <w:rFonts w:ascii="黑体" w:hAnsi="黑体" w:eastAsia="黑体"/>
          <w:color w:val="auto"/>
          <w:highlight w:val="none"/>
        </w:rPr>
      </w:pPr>
    </w:p>
    <w:p>
      <w:pPr>
        <w:spacing w:line="400" w:lineRule="exact"/>
        <w:rPr>
          <w:rFonts w:ascii="黑体" w:hAnsi="黑体" w:eastAsia="黑体"/>
          <w:color w:val="auto"/>
          <w:highlight w:val="none"/>
        </w:rPr>
      </w:pPr>
    </w:p>
    <w:p>
      <w:pPr>
        <w:spacing w:line="400" w:lineRule="exact"/>
        <w:rPr>
          <w:rFonts w:ascii="黑体" w:eastAsia="黑体"/>
          <w:color w:val="auto"/>
          <w:highlight w:val="none"/>
        </w:rPr>
      </w:pPr>
      <w:r>
        <w:rPr>
          <w:rFonts w:hint="eastAsia" w:ascii="黑体" w:hAnsi="黑体" w:eastAsia="黑体"/>
          <w:color w:val="auto"/>
          <w:highlight w:val="none"/>
        </w:rPr>
        <w:t>附表二：问题澄清通知</w:t>
      </w:r>
    </w:p>
    <w:p>
      <w:pPr>
        <w:spacing w:before="240" w:beforeLines="100" w:after="240" w:afterLines="100" w:line="400" w:lineRule="exact"/>
        <w:jc w:val="center"/>
        <w:rPr>
          <w:rFonts w:ascii="黑体" w:eastAsia="黑体"/>
          <w:color w:val="auto"/>
          <w:sz w:val="28"/>
          <w:szCs w:val="28"/>
          <w:highlight w:val="none"/>
        </w:rPr>
      </w:pPr>
      <w:r>
        <w:rPr>
          <w:rFonts w:hint="eastAsia" w:ascii="黑体" w:hAnsi="黑体" w:eastAsia="黑体"/>
          <w:color w:val="auto"/>
          <w:sz w:val="28"/>
          <w:szCs w:val="28"/>
          <w:highlight w:val="none"/>
        </w:rPr>
        <w:t>问题澄清通知</w:t>
      </w:r>
    </w:p>
    <w:p>
      <w:pPr>
        <w:spacing w:line="400" w:lineRule="exact"/>
        <w:ind w:firstLine="6120" w:firstLineChars="2550"/>
        <w:rPr>
          <w:color w:val="auto"/>
          <w:highlight w:val="none"/>
          <w:u w:val="single"/>
        </w:rPr>
      </w:pPr>
      <w:r>
        <w:rPr>
          <w:rFonts w:hint="eastAsia" w:ascii="宋体" w:hAnsi="宋体"/>
          <w:color w:val="auto"/>
          <w:highlight w:val="none"/>
        </w:rPr>
        <w:t>编号：</w:t>
      </w:r>
    </w:p>
    <w:p>
      <w:pPr>
        <w:spacing w:line="480" w:lineRule="exact"/>
        <w:ind w:firstLine="480" w:firstLineChars="200"/>
        <w:rPr>
          <w:color w:val="auto"/>
          <w:highlight w:val="none"/>
        </w:rPr>
      </w:pPr>
      <w:r>
        <w:rPr>
          <w:rFonts w:hint="eastAsia" w:ascii="宋体" w:hAnsi="宋体"/>
          <w:color w:val="auto"/>
          <w:highlight w:val="none"/>
          <w:u w:val="single"/>
        </w:rPr>
        <w:t>（投标人名称）</w:t>
      </w:r>
      <w:r>
        <w:rPr>
          <w:rFonts w:hint="eastAsia" w:ascii="宋体" w:hAnsi="宋体"/>
          <w:color w:val="auto"/>
          <w:highlight w:val="none"/>
        </w:rPr>
        <w:t>：</w:t>
      </w:r>
    </w:p>
    <w:p>
      <w:pPr>
        <w:spacing w:line="480" w:lineRule="exact"/>
        <w:ind w:firstLine="480" w:firstLineChars="200"/>
        <w:rPr>
          <w:color w:val="auto"/>
          <w:highlight w:val="none"/>
        </w:rPr>
      </w:pPr>
      <w:r>
        <w:rPr>
          <w:rFonts w:hint="eastAsia" w:ascii="宋体" w:hAnsi="宋体"/>
          <w:color w:val="auto"/>
          <w:highlight w:val="none"/>
          <w:u w:val="single"/>
        </w:rPr>
        <w:t>（项目名称）标</w:t>
      </w:r>
      <w:r>
        <w:rPr>
          <w:rFonts w:hint="eastAsia" w:ascii="宋体" w:hAnsi="宋体"/>
          <w:color w:val="auto"/>
          <w:highlight w:val="none"/>
        </w:rPr>
        <w:t>段施工招标的评标委员会，对你方的投标文件进行了仔细的审查，现需你方对本通知所附的问题以书面形式予以澄清、说明或者补正。</w:t>
      </w:r>
    </w:p>
    <w:p>
      <w:pPr>
        <w:spacing w:line="480" w:lineRule="exact"/>
        <w:rPr>
          <w:color w:val="auto"/>
          <w:highlight w:val="none"/>
        </w:rPr>
      </w:pPr>
      <w:r>
        <w:rPr>
          <w:rFonts w:hint="eastAsia" w:ascii="宋体" w:hAnsi="宋体"/>
          <w:color w:val="auto"/>
          <w:highlight w:val="none"/>
        </w:rPr>
        <w:t>　　请将上述问题的澄清、说明或者补正于</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r>
        <w:rPr>
          <w:rFonts w:hint="eastAsia" w:ascii="宋体" w:hAnsi="宋体"/>
          <w:color w:val="auto"/>
          <w:highlight w:val="none"/>
          <w:u w:val="single"/>
        </w:rPr>
        <w:t xml:space="preserve">  </w:t>
      </w:r>
      <w:r>
        <w:rPr>
          <w:rFonts w:hint="eastAsia" w:ascii="宋体" w:hAnsi="宋体"/>
          <w:color w:val="auto"/>
          <w:highlight w:val="none"/>
        </w:rPr>
        <w:t>时前密封递交至</w:t>
      </w:r>
      <w:r>
        <w:rPr>
          <w:rFonts w:hint="eastAsia" w:ascii="宋体" w:hAnsi="宋体"/>
          <w:color w:val="auto"/>
          <w:highlight w:val="none"/>
          <w:u w:val="single"/>
        </w:rPr>
        <w:t xml:space="preserve">     </w:t>
      </w:r>
      <w:r>
        <w:rPr>
          <w:rFonts w:hint="eastAsia" w:ascii="宋体" w:hAnsi="宋体"/>
          <w:color w:val="auto"/>
          <w:highlight w:val="none"/>
        </w:rPr>
        <w:t>。</w:t>
      </w:r>
    </w:p>
    <w:p>
      <w:pPr>
        <w:spacing w:line="480" w:lineRule="exact"/>
        <w:rPr>
          <w:color w:val="auto"/>
          <w:highlight w:val="none"/>
        </w:rPr>
      </w:pPr>
    </w:p>
    <w:p>
      <w:pPr>
        <w:spacing w:line="480" w:lineRule="exact"/>
        <w:rPr>
          <w:color w:val="auto"/>
          <w:highlight w:val="none"/>
        </w:rPr>
      </w:pPr>
      <w:r>
        <w:rPr>
          <w:rFonts w:hint="eastAsia" w:ascii="宋体" w:hAnsi="宋体"/>
          <w:color w:val="auto"/>
          <w:highlight w:val="none"/>
        </w:rPr>
        <w:t>问题：</w:t>
      </w:r>
      <w:r>
        <w:rPr>
          <w:rFonts w:hint="eastAsia"/>
          <w:color w:val="auto"/>
          <w:highlight w:val="none"/>
        </w:rPr>
        <w:t>1</w:t>
      </w:r>
      <w:r>
        <w:rPr>
          <w:rFonts w:hint="eastAsia" w:ascii="宋体" w:hAnsi="宋体"/>
          <w:color w:val="auto"/>
          <w:highlight w:val="none"/>
        </w:rPr>
        <w:t>、</w:t>
      </w:r>
    </w:p>
    <w:p>
      <w:pPr>
        <w:spacing w:line="480" w:lineRule="exact"/>
        <w:rPr>
          <w:color w:val="auto"/>
          <w:highlight w:val="none"/>
        </w:rPr>
      </w:pPr>
      <w:r>
        <w:rPr>
          <w:rFonts w:hint="eastAsia" w:ascii="宋体" w:hAnsi="宋体"/>
          <w:color w:val="auto"/>
          <w:highlight w:val="none"/>
        </w:rPr>
        <w:t>问题：</w:t>
      </w:r>
      <w:r>
        <w:rPr>
          <w:rFonts w:hint="eastAsia"/>
          <w:color w:val="auto"/>
          <w:highlight w:val="none"/>
        </w:rPr>
        <w:t>2</w:t>
      </w:r>
      <w:r>
        <w:rPr>
          <w:rFonts w:hint="eastAsia" w:ascii="宋体" w:hAnsi="宋体"/>
          <w:color w:val="auto"/>
          <w:highlight w:val="none"/>
        </w:rPr>
        <w:t>、</w:t>
      </w:r>
    </w:p>
    <w:p>
      <w:pPr>
        <w:spacing w:line="480" w:lineRule="exact"/>
        <w:rPr>
          <w:color w:val="auto"/>
          <w:highlight w:val="none"/>
        </w:rPr>
      </w:pPr>
      <w:r>
        <w:rPr>
          <w:color w:val="auto"/>
          <w:highlight w:val="none"/>
        </w:rPr>
        <w:t>.......</w:t>
      </w:r>
    </w:p>
    <w:p>
      <w:pPr>
        <w:spacing w:line="480" w:lineRule="exact"/>
        <w:ind w:firstLine="3360" w:firstLineChars="1400"/>
        <w:rPr>
          <w:color w:val="auto"/>
          <w:highlight w:val="none"/>
        </w:rPr>
      </w:pPr>
      <w:r>
        <w:rPr>
          <w:rFonts w:hint="eastAsia" w:ascii="宋体" w:hAnsi="宋体"/>
          <w:color w:val="auto"/>
          <w:highlight w:val="none"/>
          <w:u w:val="single"/>
        </w:rPr>
        <w:t>（工程名称）　　　　　　</w:t>
      </w:r>
      <w:r>
        <w:rPr>
          <w:rFonts w:hint="eastAsia" w:ascii="宋体" w:hAnsi="宋体"/>
          <w:color w:val="auto"/>
          <w:highlight w:val="none"/>
        </w:rPr>
        <w:t>评标委员会</w:t>
      </w:r>
    </w:p>
    <w:p>
      <w:pPr>
        <w:spacing w:line="480" w:lineRule="exact"/>
        <w:ind w:firstLine="5280" w:firstLineChars="2200"/>
        <w:rPr>
          <w:rFonts w:ascii="宋体" w:hAnsi="宋体"/>
          <w:color w:val="auto"/>
          <w:highlight w:val="none"/>
        </w:rPr>
      </w:pPr>
    </w:p>
    <w:p>
      <w:pPr>
        <w:spacing w:line="480" w:lineRule="exact"/>
        <w:ind w:firstLine="5520" w:firstLineChars="2300"/>
        <w:rPr>
          <w:color w:val="auto"/>
          <w:highlight w:val="none"/>
        </w:rPr>
      </w:pPr>
      <w:r>
        <w:rPr>
          <w:rFonts w:hint="eastAsia" w:ascii="宋体" w:hAnsi="宋体"/>
          <w:color w:val="auto"/>
          <w:highlight w:val="none"/>
        </w:rPr>
        <w:t>年　　 月　　日</w:t>
      </w:r>
    </w:p>
    <w:p>
      <w:pPr>
        <w:spacing w:line="480" w:lineRule="exact"/>
        <w:rPr>
          <w:rFonts w:ascii="黑体" w:eastAsia="黑体"/>
          <w:color w:val="auto"/>
          <w:highlight w:val="none"/>
        </w:rPr>
      </w:pPr>
      <w:r>
        <w:rPr>
          <w:color w:val="auto"/>
          <w:highlight w:val="none"/>
        </w:rPr>
        <w:br w:type="page"/>
      </w:r>
      <w:r>
        <w:rPr>
          <w:rFonts w:hint="eastAsia" w:ascii="黑体" w:hAnsi="黑体" w:eastAsia="黑体"/>
          <w:color w:val="auto"/>
          <w:highlight w:val="none"/>
        </w:rPr>
        <w:t>附表三：问题的澄清</w:t>
      </w:r>
    </w:p>
    <w:p>
      <w:pPr>
        <w:spacing w:before="240" w:beforeLines="100" w:after="240" w:afterLines="100" w:line="480" w:lineRule="exact"/>
        <w:jc w:val="center"/>
        <w:rPr>
          <w:rFonts w:ascii="黑体" w:eastAsia="黑体"/>
          <w:color w:val="auto"/>
          <w:sz w:val="28"/>
          <w:szCs w:val="28"/>
          <w:highlight w:val="none"/>
        </w:rPr>
      </w:pPr>
      <w:r>
        <w:rPr>
          <w:rFonts w:hint="eastAsia" w:ascii="黑体" w:hAnsi="黑体" w:eastAsia="黑体"/>
          <w:color w:val="auto"/>
          <w:sz w:val="28"/>
          <w:szCs w:val="28"/>
          <w:highlight w:val="none"/>
        </w:rPr>
        <w:t>问题的澄清、说明或补正</w:t>
      </w:r>
    </w:p>
    <w:p>
      <w:pPr>
        <w:spacing w:line="400" w:lineRule="exact"/>
        <w:ind w:firstLine="6120" w:firstLineChars="2550"/>
        <w:rPr>
          <w:color w:val="auto"/>
          <w:highlight w:val="none"/>
          <w:u w:val="single"/>
        </w:rPr>
      </w:pPr>
      <w:r>
        <w:rPr>
          <w:rFonts w:hint="eastAsia" w:ascii="宋体" w:hAnsi="宋体"/>
          <w:color w:val="auto"/>
          <w:highlight w:val="none"/>
        </w:rPr>
        <w:t>编号：</w:t>
      </w:r>
    </w:p>
    <w:p>
      <w:pPr>
        <w:spacing w:line="480" w:lineRule="exact"/>
        <w:rPr>
          <w:color w:val="auto"/>
          <w:highlight w:val="none"/>
        </w:rPr>
      </w:pPr>
      <w:r>
        <w:rPr>
          <w:rFonts w:hint="eastAsia" w:ascii="宋体" w:hAnsi="宋体"/>
          <w:color w:val="auto"/>
          <w:highlight w:val="none"/>
          <w:u w:val="single"/>
        </w:rPr>
        <w:t>（项目名称）</w:t>
      </w:r>
      <w:r>
        <w:rPr>
          <w:rFonts w:hint="eastAsia" w:ascii="宋体" w:hAnsi="宋体"/>
          <w:color w:val="auto"/>
          <w:highlight w:val="none"/>
        </w:rPr>
        <w:t>标段施工招标评标委员会：</w:t>
      </w:r>
    </w:p>
    <w:p>
      <w:pPr>
        <w:spacing w:line="480" w:lineRule="exact"/>
        <w:ind w:firstLine="480" w:firstLineChars="200"/>
        <w:rPr>
          <w:color w:val="auto"/>
          <w:highlight w:val="none"/>
        </w:rPr>
      </w:pPr>
      <w:r>
        <w:rPr>
          <w:rFonts w:hint="eastAsia" w:ascii="宋体" w:hAnsi="宋体"/>
          <w:color w:val="auto"/>
          <w:highlight w:val="none"/>
        </w:rPr>
        <w:t>问题澄清通知（编号：）已收悉，现澄清、说明或者补正如下：</w:t>
      </w:r>
    </w:p>
    <w:p>
      <w:pPr>
        <w:spacing w:line="480" w:lineRule="exact"/>
        <w:ind w:firstLine="480" w:firstLineChars="200"/>
        <w:rPr>
          <w:color w:val="auto"/>
          <w:highlight w:val="none"/>
        </w:rPr>
      </w:pPr>
      <w:r>
        <w:rPr>
          <w:color w:val="auto"/>
          <w:highlight w:val="none"/>
        </w:rPr>
        <w:t>1.</w:t>
      </w:r>
    </w:p>
    <w:p>
      <w:pPr>
        <w:spacing w:line="480" w:lineRule="exact"/>
        <w:ind w:firstLine="480" w:firstLineChars="200"/>
        <w:rPr>
          <w:color w:val="auto"/>
          <w:highlight w:val="none"/>
        </w:rPr>
      </w:pPr>
      <w:r>
        <w:rPr>
          <w:color w:val="auto"/>
          <w:highlight w:val="none"/>
        </w:rPr>
        <w:t>2.</w:t>
      </w:r>
    </w:p>
    <w:p>
      <w:pPr>
        <w:spacing w:line="480" w:lineRule="exact"/>
        <w:ind w:firstLine="480" w:firstLineChars="200"/>
        <w:rPr>
          <w:color w:val="auto"/>
          <w:highlight w:val="none"/>
        </w:rPr>
      </w:pPr>
    </w:p>
    <w:p>
      <w:pPr>
        <w:spacing w:line="480" w:lineRule="exact"/>
        <w:ind w:firstLine="480" w:firstLineChars="200"/>
        <w:rPr>
          <w:color w:val="auto"/>
          <w:highlight w:val="none"/>
        </w:rPr>
      </w:pPr>
      <w:r>
        <w:rPr>
          <w:rFonts w:hint="eastAsia" w:ascii="宋体" w:hAnsi="宋体"/>
          <w:color w:val="auto"/>
          <w:highlight w:val="none"/>
        </w:rPr>
        <w:t>……</w:t>
      </w: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080" w:firstLineChars="1700"/>
        <w:jc w:val="both"/>
        <w:rPr>
          <w:color w:val="auto"/>
          <w:highlight w:val="none"/>
        </w:rPr>
      </w:pPr>
      <w:r>
        <w:rPr>
          <w:rFonts w:hint="eastAsia" w:ascii="黑体" w:hAnsi="黑体" w:eastAsia="黑体"/>
          <w:color w:val="auto"/>
          <w:highlight w:val="none"/>
        </w:rPr>
        <w:t>投标人:</w:t>
      </w:r>
      <w:r>
        <w:rPr>
          <w:rFonts w:hint="eastAsia" w:ascii="黑体" w:hAnsi="黑体" w:eastAsia="黑体"/>
          <w:color w:val="auto"/>
          <w:highlight w:val="none"/>
          <w:u w:val="single"/>
        </w:rPr>
        <w:t>（单位名称）</w:t>
      </w:r>
    </w:p>
    <w:p>
      <w:pPr>
        <w:spacing w:before="120" w:beforeLines="50" w:after="120" w:afterLines="50" w:line="480" w:lineRule="exact"/>
        <w:ind w:right="210"/>
        <w:jc w:val="center"/>
        <w:rPr>
          <w:color w:val="auto"/>
          <w:highlight w:val="none"/>
          <w:u w:val="single"/>
        </w:rPr>
      </w:pPr>
      <w:r>
        <w:rPr>
          <w:rFonts w:hint="eastAsia" w:ascii="黑体" w:hAnsi="黑体" w:eastAsia="黑体"/>
          <w:color w:val="auto"/>
          <w:highlight w:val="none"/>
        </w:rPr>
        <w:t xml:space="preserve">           法定代表人或其委托代理人：</w:t>
      </w:r>
      <w:r>
        <w:rPr>
          <w:rFonts w:hint="eastAsia" w:ascii="黑体" w:hAnsi="黑体" w:eastAsia="黑体"/>
          <w:color w:val="auto"/>
          <w:highlight w:val="none"/>
          <w:u w:val="single"/>
        </w:rPr>
        <w:t xml:space="preserve">    </w:t>
      </w:r>
      <w:r>
        <w:rPr>
          <w:rFonts w:hint="eastAsia" w:ascii="宋体" w:hAnsi="宋体"/>
          <w:color w:val="auto"/>
          <w:highlight w:val="none"/>
          <w:u w:val="single"/>
        </w:rPr>
        <w:t>（签字或盖章）</w:t>
      </w:r>
    </w:p>
    <w:p>
      <w:pPr>
        <w:spacing w:line="480" w:lineRule="exact"/>
        <w:ind w:firstLine="5520" w:firstLineChars="2300"/>
        <w:rPr>
          <w:color w:val="auto"/>
          <w:highlight w:val="none"/>
        </w:rPr>
      </w:pPr>
      <w:r>
        <w:rPr>
          <w:rFonts w:hint="eastAsia" w:ascii="宋体" w:hAnsi="宋体"/>
          <w:color w:val="auto"/>
          <w:highlight w:val="none"/>
        </w:rPr>
        <w:t>年 月 日</w:t>
      </w:r>
    </w:p>
    <w:p>
      <w:pPr>
        <w:spacing w:line="480" w:lineRule="exact"/>
        <w:rPr>
          <w:rFonts w:ascii="黑体" w:eastAsia="黑体"/>
          <w:color w:val="auto"/>
          <w:highlight w:val="none"/>
        </w:rPr>
      </w:pPr>
      <w:r>
        <w:rPr>
          <w:color w:val="auto"/>
          <w:highlight w:val="none"/>
        </w:rPr>
        <w:br w:type="page"/>
      </w:r>
      <w:r>
        <w:rPr>
          <w:rFonts w:hint="eastAsia" w:ascii="黑体" w:hAnsi="黑体" w:eastAsia="黑体"/>
          <w:color w:val="auto"/>
          <w:highlight w:val="none"/>
        </w:rPr>
        <w:t>附表四：中标通知书</w:t>
      </w:r>
    </w:p>
    <w:p>
      <w:pPr>
        <w:spacing w:before="240" w:beforeLines="100" w:after="240" w:afterLines="100" w:line="480" w:lineRule="exact"/>
        <w:jc w:val="center"/>
        <w:rPr>
          <w:rFonts w:ascii="黑体" w:eastAsia="黑体"/>
          <w:color w:val="auto"/>
          <w:sz w:val="28"/>
          <w:szCs w:val="28"/>
          <w:highlight w:val="none"/>
        </w:rPr>
      </w:pPr>
      <w:r>
        <w:rPr>
          <w:rFonts w:hint="eastAsia" w:ascii="黑体" w:hAnsi="黑体" w:eastAsia="黑体"/>
          <w:color w:val="auto"/>
          <w:sz w:val="28"/>
          <w:szCs w:val="28"/>
          <w:highlight w:val="none"/>
        </w:rPr>
        <w:t>中标通知书</w:t>
      </w:r>
    </w:p>
    <w:p>
      <w:pPr>
        <w:spacing w:line="480" w:lineRule="exact"/>
        <w:rPr>
          <w:color w:val="auto"/>
          <w:highlight w:val="none"/>
        </w:rPr>
      </w:pPr>
      <w:r>
        <w:rPr>
          <w:rFonts w:hint="eastAsia" w:ascii="宋体" w:hAnsi="宋体"/>
          <w:color w:val="auto"/>
          <w:highlight w:val="none"/>
          <w:u w:val="single"/>
        </w:rPr>
        <w:t>（中标人名称）</w:t>
      </w:r>
      <w:r>
        <w:rPr>
          <w:rFonts w:hint="eastAsia" w:ascii="宋体" w:hAnsi="宋体"/>
          <w:color w:val="auto"/>
          <w:highlight w:val="none"/>
        </w:rPr>
        <w:t>：</w:t>
      </w:r>
    </w:p>
    <w:p>
      <w:pPr>
        <w:spacing w:line="480" w:lineRule="exact"/>
        <w:rPr>
          <w:color w:val="auto"/>
          <w:highlight w:val="none"/>
        </w:rPr>
      </w:pPr>
    </w:p>
    <w:p>
      <w:pPr>
        <w:spacing w:line="480" w:lineRule="exact"/>
        <w:ind w:firstLine="480" w:firstLineChars="200"/>
        <w:rPr>
          <w:color w:val="auto"/>
          <w:highlight w:val="none"/>
        </w:rPr>
      </w:pPr>
      <w:r>
        <w:rPr>
          <w:rFonts w:hint="eastAsia" w:ascii="宋体" w:hAnsi="宋体"/>
          <w:color w:val="auto"/>
          <w:highlight w:val="none"/>
        </w:rPr>
        <w:t>你方于</w:t>
      </w:r>
      <w:r>
        <w:rPr>
          <w:rFonts w:hint="eastAsia" w:ascii="宋体" w:hAnsi="宋体"/>
          <w:color w:val="auto"/>
          <w:highlight w:val="none"/>
          <w:u w:val="single"/>
        </w:rPr>
        <w:t>（投标日期）</w:t>
      </w:r>
      <w:r>
        <w:rPr>
          <w:rFonts w:hint="eastAsia" w:ascii="宋体" w:hAnsi="宋体"/>
          <w:color w:val="auto"/>
          <w:highlight w:val="none"/>
        </w:rPr>
        <w:t>所递交的</w:t>
      </w:r>
      <w:r>
        <w:rPr>
          <w:rFonts w:hint="eastAsia" w:ascii="宋体" w:hAnsi="宋体"/>
          <w:color w:val="auto"/>
          <w:highlight w:val="none"/>
          <w:u w:val="single"/>
        </w:rPr>
        <w:t>（项目名称）</w:t>
      </w:r>
      <w:r>
        <w:rPr>
          <w:rFonts w:hint="eastAsia" w:ascii="宋体" w:hAnsi="宋体"/>
          <w:color w:val="auto"/>
          <w:highlight w:val="none"/>
        </w:rPr>
        <w:t>标段施工投标文件已被我方接受，被确定为中标人。</w:t>
      </w:r>
    </w:p>
    <w:p>
      <w:pPr>
        <w:spacing w:line="360" w:lineRule="auto"/>
        <w:ind w:firstLine="480" w:firstLineChars="200"/>
        <w:rPr>
          <w:color w:val="auto"/>
          <w:highlight w:val="none"/>
        </w:rPr>
      </w:pPr>
    </w:p>
    <w:p>
      <w:pPr>
        <w:spacing w:line="360" w:lineRule="auto"/>
        <w:ind w:firstLine="480" w:firstLineChars="200"/>
        <w:rPr>
          <w:color w:val="auto"/>
          <w:highlight w:val="none"/>
        </w:rPr>
      </w:pPr>
      <w:r>
        <w:rPr>
          <w:rFonts w:hint="eastAsia" w:ascii="宋体" w:hAnsi="宋体"/>
          <w:color w:val="auto"/>
          <w:highlight w:val="none"/>
        </w:rPr>
        <w:t>中 标 价：</w:t>
      </w:r>
      <w:r>
        <w:rPr>
          <w:rFonts w:hint="eastAsia" w:ascii="宋体" w:hAnsi="宋体"/>
          <w:color w:val="auto"/>
          <w:highlight w:val="none"/>
          <w:u w:val="single"/>
        </w:rPr>
        <w:t xml:space="preserve">               </w:t>
      </w:r>
      <w:r>
        <w:rPr>
          <w:rFonts w:hint="eastAsia" w:ascii="宋体" w:hAnsi="宋体"/>
          <w:color w:val="auto"/>
          <w:highlight w:val="none"/>
        </w:rPr>
        <w:t>元。</w:t>
      </w:r>
    </w:p>
    <w:p>
      <w:pPr>
        <w:spacing w:line="360" w:lineRule="auto"/>
        <w:ind w:firstLine="480" w:firstLineChars="200"/>
        <w:rPr>
          <w:color w:val="auto"/>
          <w:highlight w:val="none"/>
        </w:rPr>
      </w:pPr>
      <w:r>
        <w:rPr>
          <w:rFonts w:hint="eastAsia" w:ascii="宋体" w:hAnsi="宋体"/>
          <w:color w:val="auto"/>
          <w:highlight w:val="none"/>
        </w:rPr>
        <w:t>工    期：</w:t>
      </w:r>
      <w:r>
        <w:rPr>
          <w:rFonts w:hint="eastAsia" w:ascii="宋体" w:hAnsi="宋体"/>
          <w:color w:val="auto"/>
          <w:highlight w:val="none"/>
          <w:u w:val="single"/>
        </w:rPr>
        <w:t xml:space="preserve">              </w:t>
      </w:r>
      <w:r>
        <w:rPr>
          <w:rFonts w:hint="eastAsia" w:ascii="宋体" w:hAnsi="宋体"/>
          <w:color w:val="auto"/>
          <w:highlight w:val="none"/>
        </w:rPr>
        <w:t>日历天。</w:t>
      </w:r>
    </w:p>
    <w:p>
      <w:pPr>
        <w:spacing w:line="360" w:lineRule="auto"/>
        <w:ind w:firstLine="480" w:firstLineChars="200"/>
        <w:rPr>
          <w:color w:val="auto"/>
          <w:highlight w:val="none"/>
        </w:rPr>
      </w:pPr>
      <w:r>
        <w:rPr>
          <w:rFonts w:hint="eastAsia" w:ascii="宋体" w:hAnsi="宋体"/>
          <w:color w:val="auto"/>
          <w:highlight w:val="none"/>
        </w:rPr>
        <w:t>工程质量：符合</w:t>
      </w:r>
      <w:r>
        <w:rPr>
          <w:rFonts w:hint="eastAsia" w:ascii="宋体" w:hAnsi="宋体"/>
          <w:color w:val="auto"/>
          <w:highlight w:val="none"/>
          <w:u w:val="single"/>
        </w:rPr>
        <w:t xml:space="preserve">                                </w:t>
      </w:r>
      <w:r>
        <w:rPr>
          <w:rFonts w:hint="eastAsia" w:ascii="宋体" w:hAnsi="宋体"/>
          <w:color w:val="auto"/>
          <w:highlight w:val="none"/>
        </w:rPr>
        <w:t>标准。</w:t>
      </w:r>
    </w:p>
    <w:p>
      <w:pPr>
        <w:spacing w:line="360" w:lineRule="auto"/>
        <w:ind w:firstLine="480" w:firstLineChars="200"/>
        <w:rPr>
          <w:rFonts w:ascii="宋体" w:hAnsi="宋体"/>
          <w:color w:val="auto"/>
          <w:highlight w:val="none"/>
        </w:rPr>
      </w:pPr>
      <w:r>
        <w:rPr>
          <w:rFonts w:hint="eastAsia" w:ascii="宋体" w:hAnsi="宋体"/>
          <w:color w:val="auto"/>
          <w:highlight w:val="none"/>
        </w:rPr>
        <w:t>项目负责人：</w:t>
      </w:r>
      <w:r>
        <w:rPr>
          <w:rFonts w:hint="eastAsia" w:ascii="宋体" w:hAnsi="宋体"/>
          <w:color w:val="auto"/>
          <w:highlight w:val="none"/>
          <w:u w:val="single"/>
        </w:rPr>
        <w:t xml:space="preserve">                         （姓名）     </w:t>
      </w:r>
      <w:r>
        <w:rPr>
          <w:rFonts w:hint="eastAsia" w:ascii="宋体" w:hAnsi="宋体"/>
          <w:color w:val="auto"/>
          <w:highlight w:val="none"/>
        </w:rPr>
        <w:t>。</w:t>
      </w:r>
    </w:p>
    <w:p>
      <w:pPr>
        <w:spacing w:line="360" w:lineRule="auto"/>
        <w:ind w:firstLine="480" w:firstLineChars="200"/>
        <w:rPr>
          <w:rFonts w:ascii="Calibri" w:hAnsi="Calibri"/>
          <w:color w:val="auto"/>
          <w:highlight w:val="none"/>
          <w:u w:val="single"/>
        </w:rPr>
      </w:pPr>
      <w:r>
        <w:rPr>
          <w:rFonts w:hint="eastAsia"/>
          <w:color w:val="auto"/>
          <w:highlight w:val="none"/>
        </w:rPr>
        <w:t>中标内容范围：</w:t>
      </w:r>
      <w:r>
        <w:rPr>
          <w:rFonts w:hint="eastAsia"/>
          <w:color w:val="auto"/>
          <w:highlight w:val="none"/>
          <w:u w:val="single"/>
        </w:rPr>
        <w:t>（应与招标公告、招标文件内容一致） 。</w:t>
      </w:r>
    </w:p>
    <w:p>
      <w:pPr>
        <w:spacing w:line="480" w:lineRule="exact"/>
        <w:ind w:firstLine="480" w:firstLineChars="200"/>
        <w:rPr>
          <w:color w:val="auto"/>
          <w:highlight w:val="none"/>
        </w:rPr>
      </w:pPr>
    </w:p>
    <w:p>
      <w:pPr>
        <w:spacing w:line="480" w:lineRule="exact"/>
        <w:ind w:firstLine="480" w:firstLineChars="200"/>
        <w:rPr>
          <w:color w:val="auto"/>
          <w:highlight w:val="none"/>
        </w:rPr>
      </w:pPr>
      <w:r>
        <w:rPr>
          <w:rFonts w:hint="eastAsia" w:ascii="宋体" w:hAnsi="宋体"/>
          <w:color w:val="auto"/>
          <w:highlight w:val="none"/>
        </w:rPr>
        <w:t>请你方在接到本通知书后的日内到</w:t>
      </w:r>
      <w:r>
        <w:rPr>
          <w:rFonts w:hint="eastAsia" w:ascii="宋体" w:hAnsi="宋体"/>
          <w:color w:val="auto"/>
          <w:highlight w:val="none"/>
          <w:u w:val="single"/>
        </w:rPr>
        <w:t xml:space="preserve">    （指定地点）</w:t>
      </w:r>
      <w:r>
        <w:rPr>
          <w:rFonts w:hint="eastAsia" w:ascii="宋体" w:hAnsi="宋体"/>
          <w:color w:val="auto"/>
          <w:highlight w:val="none"/>
        </w:rPr>
        <w:t>与我方签订施工承包合同，在此之前按招标文件第二章“投标人须知”第</w:t>
      </w:r>
      <w:r>
        <w:rPr>
          <w:rFonts w:hint="eastAsia"/>
          <w:color w:val="auto"/>
          <w:highlight w:val="none"/>
        </w:rPr>
        <w:t>7.4</w:t>
      </w:r>
      <w:r>
        <w:rPr>
          <w:rFonts w:hint="eastAsia" w:ascii="宋体" w:hAnsi="宋体"/>
          <w:color w:val="auto"/>
          <w:highlight w:val="none"/>
        </w:rPr>
        <w:t>款规定向我方提交履约担保。</w:t>
      </w:r>
    </w:p>
    <w:p>
      <w:pPr>
        <w:spacing w:line="480" w:lineRule="exact"/>
        <w:ind w:firstLine="480" w:firstLineChars="200"/>
        <w:rPr>
          <w:color w:val="auto"/>
          <w:highlight w:val="none"/>
        </w:rPr>
      </w:pPr>
      <w:r>
        <w:rPr>
          <w:rFonts w:hint="eastAsia" w:ascii="宋体" w:hAnsi="宋体"/>
          <w:color w:val="auto"/>
          <w:highlight w:val="none"/>
        </w:rPr>
        <w:t>特此通知。</w:t>
      </w:r>
    </w:p>
    <w:p>
      <w:pPr>
        <w:spacing w:line="480" w:lineRule="exact"/>
        <w:ind w:firstLine="480" w:firstLineChars="200"/>
        <w:rPr>
          <w:color w:val="auto"/>
          <w:highlight w:val="none"/>
        </w:rPr>
      </w:pPr>
    </w:p>
    <w:p>
      <w:pPr>
        <w:spacing w:line="480" w:lineRule="exact"/>
        <w:ind w:firstLine="3600" w:firstLineChars="1500"/>
        <w:rPr>
          <w:rFonts w:ascii="宋体" w:hAnsi="宋体"/>
          <w:color w:val="auto"/>
          <w:highlight w:val="none"/>
        </w:rPr>
      </w:pPr>
      <w:r>
        <w:rPr>
          <w:rFonts w:hint="eastAsia" w:ascii="宋体" w:hAnsi="宋体"/>
          <w:color w:val="auto"/>
          <w:highlight w:val="none"/>
        </w:rPr>
        <w:t>招  标  人：</w:t>
      </w:r>
      <w:r>
        <w:rPr>
          <w:rFonts w:hint="eastAsia" w:ascii="宋体" w:hAnsi="宋体"/>
          <w:color w:val="auto"/>
          <w:highlight w:val="none"/>
          <w:u w:val="single"/>
        </w:rPr>
        <w:t xml:space="preserve">       （单位盖章）　　</w:t>
      </w:r>
    </w:p>
    <w:p>
      <w:pPr>
        <w:spacing w:line="480" w:lineRule="exact"/>
        <w:ind w:firstLine="3600" w:firstLineChars="1500"/>
        <w:rPr>
          <w:rFonts w:ascii="宋体" w:hAnsi="宋体"/>
          <w:color w:val="auto"/>
          <w:highlight w:val="none"/>
        </w:rPr>
      </w:pPr>
      <w:r>
        <w:rPr>
          <w:rFonts w:hint="eastAsia" w:ascii="宋体" w:hAnsi="宋体"/>
          <w:color w:val="auto"/>
          <w:highlight w:val="none"/>
        </w:rPr>
        <w:t>法定代表人：</w:t>
      </w:r>
      <w:r>
        <w:rPr>
          <w:rFonts w:hint="eastAsia" w:ascii="宋体" w:hAnsi="宋体"/>
          <w:color w:val="auto"/>
          <w:highlight w:val="none"/>
          <w:u w:val="single"/>
        </w:rPr>
        <w:t xml:space="preserve">     （签字或盖章）　　</w:t>
      </w:r>
    </w:p>
    <w:p>
      <w:pPr>
        <w:spacing w:line="480" w:lineRule="exact"/>
        <w:ind w:firstLine="3600" w:firstLineChars="15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rPr>
        <w:t xml:space="preserve">                   　　</w:t>
      </w:r>
    </w:p>
    <w:p>
      <w:pPr>
        <w:spacing w:line="480" w:lineRule="exact"/>
        <w:ind w:firstLine="3600" w:firstLineChars="1500"/>
        <w:rPr>
          <w:rFonts w:ascii="宋体" w:hAnsi="宋体"/>
          <w:b/>
          <w:bCs/>
          <w:color w:val="auto"/>
          <w:highlight w:val="none"/>
          <w:u w:val="single"/>
        </w:rPr>
      </w:pPr>
      <w:r>
        <w:rPr>
          <w:rFonts w:hint="eastAsia" w:ascii="宋体" w:hAnsi="宋体"/>
          <w:color w:val="auto"/>
          <w:highlight w:val="none"/>
        </w:rPr>
        <w:t>联 系 电 话：</w:t>
      </w:r>
      <w:r>
        <w:rPr>
          <w:rFonts w:hint="eastAsia" w:ascii="宋体" w:hAnsi="宋体"/>
          <w:color w:val="auto"/>
          <w:highlight w:val="none"/>
          <w:u w:val="single"/>
        </w:rPr>
        <w:t xml:space="preserve"> </w:t>
      </w:r>
      <w:r>
        <w:rPr>
          <w:rFonts w:hint="eastAsia" w:ascii="宋体" w:hAnsi="宋体"/>
          <w:b/>
          <w:bCs/>
          <w:color w:val="auto"/>
          <w:highlight w:val="none"/>
          <w:u w:val="single"/>
        </w:rPr>
        <w:t xml:space="preserve">                 　　</w:t>
      </w:r>
    </w:p>
    <w:p>
      <w:pPr>
        <w:spacing w:line="480" w:lineRule="exact"/>
        <w:ind w:firstLine="5520" w:firstLineChars="2300"/>
        <w:rPr>
          <w:rFonts w:ascii="宋体" w:hAnsi="宋体"/>
          <w:color w:val="auto"/>
          <w:highlight w:val="none"/>
        </w:rPr>
      </w:pPr>
    </w:p>
    <w:p>
      <w:pPr>
        <w:spacing w:line="480" w:lineRule="exact"/>
        <w:ind w:firstLine="5520" w:firstLineChars="2300"/>
        <w:rPr>
          <w:color w:val="auto"/>
          <w:highlight w:val="none"/>
        </w:rPr>
      </w:pPr>
      <w:r>
        <w:rPr>
          <w:rFonts w:hint="eastAsia" w:ascii="宋体" w:hAnsi="宋体"/>
          <w:color w:val="auto"/>
          <w:highlight w:val="none"/>
        </w:rPr>
        <w:t>年  月  日</w:t>
      </w:r>
    </w:p>
    <w:p>
      <w:pPr>
        <w:spacing w:line="480" w:lineRule="exact"/>
        <w:ind w:firstLine="5359" w:firstLineChars="2233"/>
        <w:rPr>
          <w:color w:val="auto"/>
          <w:highlight w:val="none"/>
        </w:rPr>
      </w:pPr>
      <w:r>
        <w:rPr>
          <w:color w:val="auto"/>
          <w:highlight w:val="none"/>
        </w:rPr>
        <w:br w:type="page"/>
      </w:r>
    </w:p>
    <w:p>
      <w:pPr>
        <w:spacing w:line="480" w:lineRule="exact"/>
        <w:rPr>
          <w:rFonts w:ascii="黑体" w:eastAsia="黑体"/>
          <w:color w:val="auto"/>
          <w:highlight w:val="none"/>
        </w:rPr>
      </w:pPr>
      <w:r>
        <w:rPr>
          <w:rFonts w:hint="eastAsia" w:ascii="黑体" w:hAnsi="黑体" w:eastAsia="黑体"/>
          <w:color w:val="auto"/>
          <w:highlight w:val="none"/>
        </w:rPr>
        <w:t>附表五：确认通知</w:t>
      </w:r>
    </w:p>
    <w:p>
      <w:pPr>
        <w:spacing w:before="240" w:beforeLines="100" w:after="240" w:afterLines="100" w:line="480" w:lineRule="exact"/>
        <w:jc w:val="center"/>
        <w:rPr>
          <w:rFonts w:ascii="黑体" w:eastAsia="黑体"/>
          <w:color w:val="auto"/>
          <w:sz w:val="28"/>
          <w:szCs w:val="28"/>
          <w:highlight w:val="none"/>
        </w:rPr>
      </w:pPr>
      <w:r>
        <w:rPr>
          <w:rFonts w:hint="eastAsia" w:ascii="黑体" w:hAnsi="黑体" w:eastAsia="黑体"/>
          <w:color w:val="auto"/>
          <w:sz w:val="28"/>
          <w:szCs w:val="28"/>
          <w:highlight w:val="none"/>
        </w:rPr>
        <w:t>确认通知</w:t>
      </w:r>
    </w:p>
    <w:p>
      <w:pPr>
        <w:spacing w:line="480" w:lineRule="exact"/>
        <w:rPr>
          <w:color w:val="auto"/>
          <w:highlight w:val="none"/>
        </w:rPr>
      </w:pPr>
      <w:r>
        <w:rPr>
          <w:rFonts w:hint="eastAsia" w:ascii="宋体" w:hAnsi="宋体"/>
          <w:color w:val="auto"/>
          <w:highlight w:val="none"/>
          <w:u w:val="single"/>
        </w:rPr>
        <w:t xml:space="preserve">       （招标人名称）     </w:t>
      </w:r>
      <w:r>
        <w:rPr>
          <w:rFonts w:hint="eastAsia" w:ascii="宋体" w:hAnsi="宋体"/>
          <w:color w:val="auto"/>
          <w:highlight w:val="none"/>
        </w:rPr>
        <w:t>：</w:t>
      </w:r>
    </w:p>
    <w:p>
      <w:pPr>
        <w:spacing w:line="480" w:lineRule="exact"/>
        <w:rPr>
          <w:color w:val="auto"/>
          <w:highlight w:val="none"/>
        </w:rPr>
      </w:pPr>
    </w:p>
    <w:p>
      <w:pPr>
        <w:spacing w:line="480" w:lineRule="exact"/>
        <w:ind w:firstLine="360" w:firstLineChars="150"/>
        <w:rPr>
          <w:color w:val="auto"/>
          <w:highlight w:val="none"/>
        </w:rPr>
      </w:pPr>
      <w:r>
        <w:rPr>
          <w:rFonts w:hint="eastAsia" w:ascii="宋体" w:hAnsi="宋体"/>
          <w:color w:val="auto"/>
          <w:highlight w:val="none"/>
        </w:rPr>
        <w:t>你方    年 月 日发出的</w:t>
      </w:r>
      <w:r>
        <w:rPr>
          <w:rFonts w:hint="eastAsia" w:ascii="宋体" w:hAnsi="宋体"/>
          <w:color w:val="auto"/>
          <w:highlight w:val="none"/>
          <w:u w:val="single"/>
        </w:rPr>
        <w:t>（项目名称）　　</w:t>
      </w:r>
      <w:r>
        <w:rPr>
          <w:rFonts w:hint="eastAsia" w:ascii="宋体" w:hAnsi="宋体"/>
          <w:color w:val="auto"/>
          <w:highlight w:val="none"/>
        </w:rPr>
        <w:t>标段施工招标关于的通知，我方已于  　年 月  日收到。</w:t>
      </w:r>
    </w:p>
    <w:p>
      <w:pPr>
        <w:spacing w:line="480" w:lineRule="exact"/>
        <w:ind w:firstLine="480" w:firstLineChars="200"/>
        <w:rPr>
          <w:color w:val="auto"/>
          <w:highlight w:val="none"/>
        </w:rPr>
      </w:pPr>
    </w:p>
    <w:p>
      <w:pPr>
        <w:spacing w:line="480" w:lineRule="exact"/>
        <w:ind w:firstLine="480" w:firstLineChars="200"/>
        <w:rPr>
          <w:color w:val="auto"/>
          <w:highlight w:val="none"/>
        </w:rPr>
      </w:pPr>
      <w:r>
        <w:rPr>
          <w:rFonts w:hint="eastAsia" w:ascii="宋体" w:hAnsi="宋体"/>
          <w:color w:val="auto"/>
          <w:highlight w:val="none"/>
        </w:rPr>
        <w:t>特此确认。</w:t>
      </w: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80" w:firstLineChars="200"/>
        <w:rPr>
          <w:color w:val="auto"/>
          <w:highlight w:val="none"/>
        </w:rPr>
      </w:pPr>
    </w:p>
    <w:p>
      <w:pPr>
        <w:spacing w:line="480" w:lineRule="exact"/>
        <w:ind w:firstLine="480" w:firstLineChars="200"/>
        <w:jc w:val="center"/>
        <w:rPr>
          <w:color w:val="auto"/>
          <w:highlight w:val="none"/>
        </w:rPr>
      </w:pPr>
      <w:r>
        <w:rPr>
          <w:rFonts w:hint="eastAsia" w:ascii="黑体" w:hAnsi="黑体" w:eastAsia="黑体"/>
          <w:color w:val="auto"/>
          <w:highlight w:val="none"/>
        </w:rPr>
        <w:t xml:space="preserve">             投标人：</w:t>
      </w:r>
      <w:r>
        <w:rPr>
          <w:rFonts w:hint="eastAsia" w:ascii="宋体" w:hAnsi="宋体"/>
          <w:color w:val="auto"/>
          <w:highlight w:val="none"/>
          <w:u w:val="single"/>
        </w:rPr>
        <w:t>（单位盖章）</w:t>
      </w:r>
    </w:p>
    <w:p>
      <w:pPr>
        <w:spacing w:line="480" w:lineRule="exact"/>
        <w:ind w:firstLine="4560" w:firstLineChars="1900"/>
        <w:rPr>
          <w:color w:val="auto"/>
          <w:highlight w:val="none"/>
        </w:rPr>
      </w:pPr>
      <w:r>
        <w:rPr>
          <w:rFonts w:hint="eastAsia" w:ascii="宋体" w:hAnsi="宋体"/>
          <w:color w:val="auto"/>
          <w:highlight w:val="none"/>
        </w:rPr>
        <w:t>年  月  日</w:t>
      </w:r>
    </w:p>
    <w:p>
      <w:pPr>
        <w:spacing w:line="480" w:lineRule="exact"/>
        <w:jc w:val="right"/>
        <w:rPr>
          <w:color w:val="auto"/>
          <w:highlight w:val="none"/>
        </w:rPr>
      </w:pPr>
    </w:p>
    <w:p>
      <w:pPr>
        <w:pStyle w:val="3"/>
        <w:rPr>
          <w:rFonts w:ascii="黑体" w:hAnsi="黑体"/>
          <w:b/>
          <w:color w:val="auto"/>
          <w:highlight w:val="none"/>
        </w:rPr>
      </w:pPr>
      <w:r>
        <w:rPr>
          <w:b/>
          <w:color w:val="auto"/>
          <w:highlight w:val="none"/>
        </w:rPr>
        <w:br w:type="page"/>
      </w:r>
      <w:bookmarkStart w:id="166" w:name="_Toc22828078"/>
      <w:bookmarkEnd w:id="166"/>
      <w:bookmarkStart w:id="167" w:name="_Toc19767"/>
      <w:bookmarkEnd w:id="167"/>
      <w:bookmarkStart w:id="168" w:name="_Toc67589034"/>
      <w:bookmarkEnd w:id="168"/>
      <w:bookmarkStart w:id="169" w:name="_Toc45697242"/>
      <w:r>
        <w:rPr>
          <w:rFonts w:hint="eastAsia" w:ascii="黑体" w:hAnsi="黑体"/>
          <w:b/>
          <w:color w:val="auto"/>
          <w:highlight w:val="none"/>
        </w:rPr>
        <w:t>第三章 评标办法</w:t>
      </w:r>
      <w:bookmarkEnd w:id="169"/>
    </w:p>
    <w:p>
      <w:pPr>
        <w:widowControl/>
        <w:autoSpaceDN/>
        <w:rPr>
          <w:rFonts w:ascii="宋体" w:hAnsi="宋体"/>
          <w:b/>
          <w:color w:val="auto"/>
          <w:highlight w:val="none"/>
        </w:rPr>
      </w:pPr>
      <w:bookmarkStart w:id="170" w:name="bookmark94"/>
      <w:bookmarkEnd w:id="170"/>
      <w:r>
        <w:rPr>
          <w:rFonts w:hint="eastAsia" w:ascii="Wingdings 2" w:hAnsi="Wingdings 2"/>
          <w:color w:val="auto"/>
          <w:sz w:val="28"/>
          <w:szCs w:val="28"/>
          <w:highlight w:val="none"/>
        </w:rPr>
        <w:t>☑</w:t>
      </w:r>
      <w:r>
        <w:rPr>
          <w:rFonts w:hint="eastAsia" w:ascii="宋体" w:hAnsi="宋体"/>
          <w:b/>
          <w:color w:val="auto"/>
          <w:highlight w:val="none"/>
        </w:rPr>
        <w:t>评标办法（三）</w:t>
      </w:r>
    </w:p>
    <w:p>
      <w:pPr>
        <w:jc w:val="center"/>
        <w:rPr>
          <w:rFonts w:ascii="宋体" w:hAnsi="宋体"/>
          <w:b/>
          <w:color w:val="auto"/>
          <w:highlight w:val="none"/>
        </w:rPr>
      </w:pPr>
      <w:r>
        <w:rPr>
          <w:rFonts w:hint="eastAsia" w:ascii="宋体" w:hAnsi="宋体"/>
          <w:b/>
          <w:color w:val="auto"/>
          <w:highlight w:val="none"/>
        </w:rPr>
        <w:t>技术标打分制的综合评估法</w:t>
      </w:r>
    </w:p>
    <w:p>
      <w:pPr>
        <w:ind w:firstLine="480" w:firstLineChars="200"/>
        <w:rPr>
          <w:rFonts w:ascii="宋体" w:hAnsi="宋体"/>
          <w:bCs/>
          <w:color w:val="auto"/>
          <w:highlight w:val="none"/>
        </w:rPr>
      </w:pPr>
    </w:p>
    <w:p>
      <w:pPr>
        <w:keepNext w:val="0"/>
        <w:keepLines w:val="0"/>
        <w:pageBreakBefore w:val="0"/>
        <w:kinsoku/>
        <w:wordWrap/>
        <w:overflowPunct/>
        <w:topLinePunct w:val="0"/>
        <w:bidi w:val="0"/>
        <w:adjustRightInd w:val="0"/>
        <w:spacing w:line="312" w:lineRule="auto"/>
        <w:ind w:firstLine="420" w:firstLineChars="200"/>
        <w:textAlignment w:val="auto"/>
        <w:rPr>
          <w:rFonts w:ascii="宋体" w:hAnsi="宋体"/>
          <w:bCs/>
          <w:color w:val="auto"/>
          <w:sz w:val="21"/>
          <w:szCs w:val="21"/>
          <w:highlight w:val="none"/>
        </w:rPr>
      </w:pPr>
      <w:r>
        <w:rPr>
          <w:rFonts w:hint="eastAsia" w:ascii="宋体" w:hAnsi="宋体"/>
          <w:bCs/>
          <w:color w:val="auto"/>
          <w:sz w:val="21"/>
          <w:szCs w:val="21"/>
          <w:highlight w:val="none"/>
        </w:rPr>
        <w:t>技术标打分制的综合评估法，适用于采用新工艺、技术特别复杂或具有特殊专业技术要求的</w:t>
      </w:r>
      <w:r>
        <w:rPr>
          <w:rFonts w:hint="eastAsia" w:ascii="宋体" w:hAnsi="宋体"/>
          <w:color w:val="auto"/>
          <w:sz w:val="21"/>
          <w:szCs w:val="21"/>
          <w:highlight w:val="none"/>
        </w:rPr>
        <w:t>房屋建筑和市政基础设施工程</w:t>
      </w:r>
      <w:r>
        <w:rPr>
          <w:rFonts w:hint="eastAsia" w:ascii="宋体" w:hAnsi="宋体"/>
          <w:bCs/>
          <w:color w:val="auto"/>
          <w:sz w:val="21"/>
          <w:szCs w:val="21"/>
          <w:highlight w:val="none"/>
        </w:rPr>
        <w:t>（标准由当地招投标主管部门确定）施工招标。评标应遵循公平、公正、科学、择优的原则。</w:t>
      </w:r>
    </w:p>
    <w:p>
      <w:pPr>
        <w:keepNext w:val="0"/>
        <w:keepLines w:val="0"/>
        <w:pageBreakBefore w:val="0"/>
        <w:kinsoku/>
        <w:wordWrap/>
        <w:overflowPunct/>
        <w:topLinePunct w:val="0"/>
        <w:bidi w:val="0"/>
        <w:adjustRightInd w:val="0"/>
        <w:spacing w:line="312" w:lineRule="auto"/>
        <w:textAlignment w:val="auto"/>
        <w:rPr>
          <w:rFonts w:ascii="宋体" w:hAnsi="宋体"/>
          <w:color w:val="auto"/>
          <w:sz w:val="21"/>
          <w:szCs w:val="21"/>
          <w:highlight w:val="none"/>
        </w:rPr>
      </w:pPr>
      <w:r>
        <w:rPr>
          <w:rFonts w:hint="eastAsia" w:ascii="宋体" w:hAnsi="宋体"/>
          <w:bCs/>
          <w:color w:val="auto"/>
          <w:sz w:val="21"/>
          <w:szCs w:val="21"/>
          <w:highlight w:val="none"/>
        </w:rPr>
        <w:t xml:space="preserve">    技术标打分制的综合评估法应先对投标人进行资格审查，已通过资格审查采用百分制记分法对投标人分别进行技术、资信、商务报价评分，总分最高的投标人推荐为中标候选人。</w:t>
      </w:r>
    </w:p>
    <w:p>
      <w:pPr>
        <w:keepNext w:val="0"/>
        <w:keepLines w:val="0"/>
        <w:pageBreakBefore w:val="0"/>
        <w:kinsoku/>
        <w:wordWrap/>
        <w:overflowPunct/>
        <w:topLinePunct w:val="0"/>
        <w:bidi w:val="0"/>
        <w:adjustRightInd w:val="0"/>
        <w:spacing w:line="312" w:lineRule="auto"/>
        <w:ind w:firstLine="422" w:firstLineChars="200"/>
        <w:textAlignment w:val="auto"/>
        <w:rPr>
          <w:rFonts w:ascii="宋体" w:hAnsi="宋体"/>
          <w:color w:val="auto"/>
          <w:sz w:val="21"/>
          <w:szCs w:val="21"/>
          <w:highlight w:val="none"/>
        </w:rPr>
      </w:pPr>
      <w:r>
        <w:rPr>
          <w:rFonts w:hint="eastAsia" w:ascii="宋体" w:hAnsi="宋体"/>
          <w:b/>
          <w:color w:val="auto"/>
          <w:sz w:val="21"/>
          <w:szCs w:val="21"/>
          <w:highlight w:val="none"/>
        </w:rPr>
        <w:t>总分</w:t>
      </w:r>
      <w:r>
        <w:rPr>
          <w:rFonts w:hint="eastAsia" w:ascii="宋体" w:hAnsi="宋体"/>
          <w:color w:val="auto"/>
          <w:sz w:val="21"/>
          <w:szCs w:val="21"/>
          <w:highlight w:val="none"/>
        </w:rPr>
        <w:t>=技术标评分（≤30分）</w:t>
      </w:r>
      <w:r>
        <w:rPr>
          <w:rFonts w:hint="eastAsia" w:ascii="宋体" w:hAnsi="宋体"/>
          <w:b/>
          <w:bCs/>
          <w:color w:val="auto"/>
          <w:sz w:val="21"/>
          <w:szCs w:val="21"/>
          <w:highlight w:val="none"/>
          <w:u w:val="single"/>
        </w:rPr>
        <w:t xml:space="preserve"> </w:t>
      </w:r>
      <w:r>
        <w:rPr>
          <w:rFonts w:hint="eastAsia" w:ascii="宋体" w:hAnsi="宋体"/>
          <w:b/>
          <w:bCs/>
          <w:color w:val="auto"/>
          <w:sz w:val="21"/>
          <w:szCs w:val="21"/>
          <w:highlight w:val="none"/>
          <w:u w:val="single"/>
          <w:lang w:val="en-US" w:eastAsia="zh-CN"/>
        </w:rPr>
        <w:t>3</w:t>
      </w:r>
      <w:r>
        <w:rPr>
          <w:rFonts w:hint="eastAsia" w:ascii="宋体" w:hAnsi="宋体"/>
          <w:b/>
          <w:bCs/>
          <w:color w:val="auto"/>
          <w:sz w:val="21"/>
          <w:szCs w:val="21"/>
          <w:highlight w:val="none"/>
          <w:u w:val="single"/>
        </w:rPr>
        <w:t xml:space="preserve">0 </w:t>
      </w:r>
      <w:r>
        <w:rPr>
          <w:rFonts w:hint="eastAsia" w:ascii="宋体" w:hAnsi="宋体"/>
          <w:b/>
          <w:bCs/>
          <w:color w:val="auto"/>
          <w:sz w:val="21"/>
          <w:szCs w:val="21"/>
          <w:highlight w:val="none"/>
        </w:rPr>
        <w:t>分</w:t>
      </w:r>
      <w:r>
        <w:rPr>
          <w:rFonts w:hint="eastAsia" w:ascii="宋体" w:hAnsi="宋体"/>
          <w:color w:val="auto"/>
          <w:sz w:val="21"/>
          <w:szCs w:val="21"/>
          <w:highlight w:val="none"/>
        </w:rPr>
        <w:t>,资信标评分（≤10分）</w:t>
      </w:r>
      <w:r>
        <w:rPr>
          <w:rFonts w:hint="eastAsia" w:ascii="宋体" w:hAnsi="宋体"/>
          <w:color w:val="auto"/>
          <w:sz w:val="21"/>
          <w:szCs w:val="21"/>
          <w:highlight w:val="none"/>
          <w:u w:val="single"/>
        </w:rPr>
        <w:t xml:space="preserve"> </w:t>
      </w:r>
      <w:r>
        <w:rPr>
          <w:rFonts w:hint="eastAsia" w:ascii="宋体" w:hAnsi="宋体"/>
          <w:b/>
          <w:bCs/>
          <w:color w:val="auto"/>
          <w:sz w:val="21"/>
          <w:szCs w:val="21"/>
          <w:highlight w:val="none"/>
          <w:u w:val="single"/>
        </w:rPr>
        <w:t xml:space="preserve">10 </w:t>
      </w:r>
      <w:r>
        <w:rPr>
          <w:rFonts w:hint="eastAsia" w:ascii="宋体" w:hAnsi="宋体"/>
          <w:b/>
          <w:bCs/>
          <w:color w:val="auto"/>
          <w:sz w:val="21"/>
          <w:szCs w:val="21"/>
          <w:highlight w:val="none"/>
        </w:rPr>
        <w:t>分</w:t>
      </w:r>
      <w:r>
        <w:rPr>
          <w:rFonts w:hint="eastAsia" w:ascii="宋体" w:hAnsi="宋体"/>
          <w:color w:val="auto"/>
          <w:sz w:val="21"/>
          <w:szCs w:val="21"/>
          <w:highlight w:val="none"/>
        </w:rPr>
        <w:t>,商务标评分（≥60分）</w:t>
      </w:r>
      <w:r>
        <w:rPr>
          <w:rFonts w:hint="eastAsia" w:ascii="宋体" w:hAnsi="宋体"/>
          <w:b/>
          <w:bCs/>
          <w:color w:val="auto"/>
          <w:sz w:val="21"/>
          <w:szCs w:val="21"/>
          <w:highlight w:val="none"/>
          <w:u w:val="single"/>
        </w:rPr>
        <w:t xml:space="preserve"> </w:t>
      </w:r>
      <w:r>
        <w:rPr>
          <w:rFonts w:hint="eastAsia" w:ascii="宋体" w:hAnsi="宋体"/>
          <w:b/>
          <w:bCs/>
          <w:color w:val="auto"/>
          <w:sz w:val="21"/>
          <w:szCs w:val="21"/>
          <w:highlight w:val="none"/>
          <w:u w:val="single"/>
          <w:lang w:val="en-US" w:eastAsia="zh-CN"/>
        </w:rPr>
        <w:t>60</w:t>
      </w:r>
      <w:r>
        <w:rPr>
          <w:rFonts w:hint="eastAsia" w:ascii="宋体" w:hAnsi="宋体"/>
          <w:b/>
          <w:bCs/>
          <w:color w:val="auto"/>
          <w:sz w:val="21"/>
          <w:szCs w:val="21"/>
          <w:highlight w:val="none"/>
          <w:u w:val="single"/>
        </w:rPr>
        <w:t xml:space="preserve">  </w:t>
      </w:r>
      <w:r>
        <w:rPr>
          <w:rFonts w:hint="eastAsia" w:ascii="宋体" w:hAnsi="宋体"/>
          <w:b/>
          <w:bCs/>
          <w:color w:val="auto"/>
          <w:sz w:val="21"/>
          <w:szCs w:val="21"/>
          <w:highlight w:val="none"/>
        </w:rPr>
        <w:t>分</w:t>
      </w:r>
      <w:r>
        <w:rPr>
          <w:rFonts w:hint="eastAsia" w:ascii="宋体" w:hAnsi="宋体"/>
          <w:color w:val="auto"/>
          <w:sz w:val="21"/>
          <w:szCs w:val="21"/>
          <w:highlight w:val="none"/>
        </w:rPr>
        <w:t>。</w:t>
      </w:r>
    </w:p>
    <w:p>
      <w:pPr>
        <w:pStyle w:val="29"/>
        <w:keepNext w:val="0"/>
        <w:keepLines w:val="0"/>
        <w:pageBreakBefore w:val="0"/>
        <w:kinsoku/>
        <w:wordWrap/>
        <w:overflowPunct/>
        <w:topLinePunct w:val="0"/>
        <w:bidi w:val="0"/>
        <w:adjustRightInd w:val="0"/>
        <w:snapToGrid w:val="0"/>
        <w:spacing w:line="312" w:lineRule="auto"/>
        <w:ind w:firstLine="420" w:firstLineChars="200"/>
        <w:textAlignment w:val="auto"/>
        <w:rPr>
          <w:b/>
          <w:bCs/>
          <w:color w:val="auto"/>
          <w:sz w:val="21"/>
          <w:szCs w:val="21"/>
          <w:highlight w:val="none"/>
          <w:u w:val="single"/>
        </w:rPr>
      </w:pPr>
      <w:r>
        <w:rPr>
          <w:rFonts w:hint="eastAsia"/>
          <w:color w:val="auto"/>
          <w:sz w:val="21"/>
          <w:szCs w:val="21"/>
          <w:highlight w:val="none"/>
        </w:rPr>
        <w:t>评标工作由招标人依法组建的评标委员会负责，评标委员会成员为</w:t>
      </w:r>
      <w:r>
        <w:rPr>
          <w:rFonts w:hint="eastAsia"/>
          <w:color w:val="auto"/>
          <w:sz w:val="21"/>
          <w:szCs w:val="21"/>
          <w:highlight w:val="none"/>
          <w:u w:val="single"/>
        </w:rPr>
        <w:t xml:space="preserve"> </w:t>
      </w:r>
      <w:r>
        <w:rPr>
          <w:rFonts w:hint="eastAsia"/>
          <w:b/>
          <w:bCs/>
          <w:color w:val="auto"/>
          <w:sz w:val="21"/>
          <w:szCs w:val="21"/>
          <w:highlight w:val="none"/>
          <w:u w:val="single"/>
        </w:rPr>
        <w:t>按规定7人及以上单数</w:t>
      </w:r>
      <w:r>
        <w:rPr>
          <w:rFonts w:hint="eastAsia"/>
          <w:b/>
          <w:bCs/>
          <w:color w:val="auto"/>
          <w:sz w:val="21"/>
          <w:szCs w:val="21"/>
          <w:highlight w:val="none"/>
          <w:u w:val="single"/>
          <w:lang w:val="en-US" w:eastAsia="zh-CN"/>
        </w:rPr>
        <w:t>,其中招标人代表2人，专家5人（评标委员会开始评标前应推选1名专家为评标组长，招标人代表不得担任评标组长）。</w:t>
      </w:r>
    </w:p>
    <w:p>
      <w:pPr>
        <w:keepNext w:val="0"/>
        <w:keepLines w:val="0"/>
        <w:pageBreakBefore w:val="0"/>
        <w:kinsoku/>
        <w:wordWrap/>
        <w:overflowPunct/>
        <w:topLinePunct w:val="0"/>
        <w:bidi w:val="0"/>
        <w:adjustRightInd w:val="0"/>
        <w:snapToGri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pStyle w:val="22"/>
        <w:keepNext w:val="0"/>
        <w:keepLines w:val="0"/>
        <w:pageBreakBefore w:val="0"/>
        <w:numPr>
          <w:ilvl w:val="0"/>
          <w:numId w:val="30"/>
        </w:numPr>
        <w:kinsoku/>
        <w:wordWrap/>
        <w:overflowPunct/>
        <w:topLinePunct w:val="0"/>
        <w:bidi w:val="0"/>
        <w:adjustRightInd w:val="0"/>
        <w:snapToGrid w:val="0"/>
        <w:spacing w:line="312" w:lineRule="auto"/>
        <w:ind w:left="0" w:firstLine="422" w:firstLineChars="200"/>
        <w:textAlignment w:val="auto"/>
        <w:rPr>
          <w:rFonts w:ascii="宋体" w:hAnsi="宋体"/>
          <w:b/>
          <w:color w:val="auto"/>
          <w:sz w:val="21"/>
          <w:szCs w:val="21"/>
          <w:highlight w:val="none"/>
        </w:rPr>
      </w:pPr>
      <w:r>
        <w:rPr>
          <w:rFonts w:hint="eastAsia" w:ascii="宋体" w:hAnsi="宋体"/>
          <w:b/>
          <w:color w:val="auto"/>
          <w:sz w:val="21"/>
          <w:szCs w:val="21"/>
          <w:highlight w:val="none"/>
        </w:rPr>
        <w:t>评标程序</w:t>
      </w:r>
    </w:p>
    <w:p>
      <w:pPr>
        <w:pStyle w:val="31"/>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（一）资格审查</w:t>
      </w:r>
    </w:p>
    <w:p>
      <w:pPr>
        <w:pStyle w:val="31"/>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（二）技术评审</w:t>
      </w:r>
    </w:p>
    <w:p>
      <w:pPr>
        <w:pStyle w:val="31"/>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（三）初步评审</w:t>
      </w:r>
    </w:p>
    <w:p>
      <w:pPr>
        <w:pStyle w:val="31"/>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（四）资信评审</w:t>
      </w:r>
    </w:p>
    <w:p>
      <w:pPr>
        <w:pStyle w:val="31"/>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（五）商务评审</w:t>
      </w:r>
    </w:p>
    <w:p>
      <w:pPr>
        <w:pStyle w:val="31"/>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（六）推荐中标候选人</w:t>
      </w:r>
    </w:p>
    <w:p>
      <w:pPr>
        <w:pStyle w:val="22"/>
        <w:keepNext w:val="0"/>
        <w:keepLines w:val="0"/>
        <w:pageBreakBefore w:val="0"/>
        <w:numPr>
          <w:ilvl w:val="0"/>
          <w:numId w:val="0"/>
        </w:numPr>
        <w:kinsoku/>
        <w:wordWrap/>
        <w:overflowPunct/>
        <w:topLinePunct w:val="0"/>
        <w:bidi w:val="0"/>
        <w:adjustRightInd w:val="0"/>
        <w:snapToGrid w:val="0"/>
        <w:spacing w:line="312" w:lineRule="auto"/>
        <w:ind w:leftChars="200"/>
        <w:textAlignment w:val="auto"/>
        <w:rPr>
          <w:rFonts w:ascii="宋体" w:hAnsi="宋体"/>
          <w:b/>
          <w:color w:val="auto"/>
          <w:sz w:val="21"/>
          <w:szCs w:val="21"/>
          <w:highlight w:val="none"/>
        </w:rPr>
      </w:pPr>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一</w:t>
      </w:r>
      <w:r>
        <w:rPr>
          <w:rFonts w:hint="eastAsia" w:ascii="宋体" w:hAnsi="宋体"/>
          <w:b/>
          <w:color w:val="auto"/>
          <w:sz w:val="21"/>
          <w:szCs w:val="21"/>
          <w:highlight w:val="none"/>
          <w:lang w:eastAsia="zh-CN"/>
        </w:rPr>
        <w:t>）</w:t>
      </w:r>
      <w:r>
        <w:rPr>
          <w:rFonts w:hint="eastAsia" w:ascii="宋体" w:hAnsi="宋体"/>
          <w:b/>
          <w:color w:val="auto"/>
          <w:sz w:val="21"/>
          <w:szCs w:val="21"/>
          <w:highlight w:val="none"/>
        </w:rPr>
        <w:t>资格审查</w:t>
      </w:r>
    </w:p>
    <w:p>
      <w:pPr>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投标人存在以下情况之一的，评标委员会组织投标人询问核实后，情况属实的，资格审查不予通过，否决其投标。否决其投标情形详见投标须知前附表</w:t>
      </w:r>
      <w:r>
        <w:rPr>
          <w:rFonts w:hint="eastAsia"/>
          <w:color w:val="auto"/>
          <w:sz w:val="21"/>
          <w:szCs w:val="21"/>
          <w:highlight w:val="none"/>
        </w:rPr>
        <w:t>10.5</w:t>
      </w:r>
      <w:r>
        <w:rPr>
          <w:rFonts w:hint="eastAsia" w:ascii="宋体" w:hAnsi="宋体"/>
          <w:color w:val="auto"/>
          <w:sz w:val="21"/>
          <w:szCs w:val="21"/>
          <w:highlight w:val="none"/>
        </w:rPr>
        <w:t>。</w:t>
      </w:r>
    </w:p>
    <w:p>
      <w:pPr>
        <w:keepNext w:val="0"/>
        <w:keepLines w:val="0"/>
        <w:pageBreakBefore w:val="0"/>
        <w:kinsoku/>
        <w:wordWrap/>
        <w:overflowPunct/>
        <w:topLinePunct w:val="0"/>
        <w:bidi w:val="0"/>
        <w:adjustRightInd w:val="0"/>
        <w:spacing w:line="312" w:lineRule="auto"/>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二</w:t>
      </w:r>
      <w:r>
        <w:rPr>
          <w:rFonts w:hint="eastAsia" w:ascii="宋体" w:hAnsi="宋体"/>
          <w:color w:val="auto"/>
          <w:sz w:val="21"/>
          <w:szCs w:val="21"/>
          <w:highlight w:val="none"/>
        </w:rPr>
        <w:t>）技术标评分</w:t>
      </w:r>
      <w:r>
        <w:rPr>
          <w:rFonts w:hint="eastAsia" w:ascii="宋体" w:hAnsi="宋体"/>
          <w:b/>
          <w:color w:val="auto"/>
          <w:sz w:val="21"/>
          <w:szCs w:val="21"/>
          <w:highlight w:val="none"/>
        </w:rPr>
        <w:t>（</w:t>
      </w:r>
      <w:r>
        <w:rPr>
          <w:rFonts w:hint="eastAsia" w:ascii="宋体" w:hAnsi="宋体"/>
          <w:b/>
          <w:color w:val="auto"/>
          <w:sz w:val="21"/>
          <w:szCs w:val="21"/>
          <w:highlight w:val="none"/>
          <w:lang w:val="en-US" w:eastAsia="zh-CN"/>
        </w:rPr>
        <w:t>3</w:t>
      </w:r>
      <w:r>
        <w:rPr>
          <w:rFonts w:hint="eastAsia" w:ascii="宋体" w:hAnsi="宋体"/>
          <w:b/>
          <w:color w:val="auto"/>
          <w:sz w:val="21"/>
          <w:szCs w:val="21"/>
          <w:highlight w:val="none"/>
        </w:rPr>
        <w:t>0分）</w:t>
      </w:r>
    </w:p>
    <w:p>
      <w:pPr>
        <w:pStyle w:val="31"/>
        <w:keepNext w:val="0"/>
        <w:keepLines w:val="0"/>
        <w:pageBreakBefore w:val="0"/>
        <w:kinsoku/>
        <w:wordWrap/>
        <w:overflowPunct/>
        <w:topLinePunct w:val="0"/>
        <w:bidi w:val="0"/>
        <w:adjustRightInd w:val="0"/>
        <w:spacing w:line="312" w:lineRule="auto"/>
        <w:ind w:firstLine="420" w:firstLineChars="200"/>
        <w:textAlignment w:val="auto"/>
        <w:rPr>
          <w:rFonts w:ascii="宋体" w:hAnsi="宋体" w:cs="Arial"/>
          <w:color w:val="auto"/>
          <w:kern w:val="0"/>
          <w:sz w:val="21"/>
          <w:szCs w:val="21"/>
          <w:highlight w:val="none"/>
        </w:rPr>
      </w:pPr>
      <w:r>
        <w:rPr>
          <w:rFonts w:hint="eastAsia" w:ascii="宋体" w:hAnsi="宋体" w:cs="Arial"/>
          <w:color w:val="auto"/>
          <w:kern w:val="0"/>
          <w:sz w:val="21"/>
          <w:szCs w:val="21"/>
          <w:highlight w:val="none"/>
        </w:rPr>
        <w:t>评标委员会各成员按招标文件明确的评审标准独立评审。</w:t>
      </w:r>
      <w:r>
        <w:rPr>
          <w:rFonts w:hint="eastAsia" w:ascii="宋体" w:hAnsi="宋体"/>
          <w:color w:val="auto"/>
          <w:sz w:val="21"/>
          <w:szCs w:val="21"/>
          <w:highlight w:val="none"/>
        </w:rPr>
        <w:t>投标人的技术得分值为全体评标委员会成员的评分中去除最高分和最低分后的平均值</w:t>
      </w:r>
      <w:r>
        <w:rPr>
          <w:rFonts w:hint="eastAsia" w:ascii="宋体" w:hAnsi="宋体" w:cs="Arial"/>
          <w:color w:val="auto"/>
          <w:kern w:val="0"/>
          <w:sz w:val="21"/>
          <w:szCs w:val="21"/>
          <w:highlight w:val="none"/>
        </w:rPr>
        <w:t>（评标委员会成员打分保留一位小数，结果四舍五入保留两位小数）。</w:t>
      </w:r>
    </w:p>
    <w:tbl>
      <w:tblPr>
        <w:tblStyle w:val="18"/>
        <w:tblpPr w:leftFromText="180" w:rightFromText="180" w:vertAnchor="text" w:horzAnchor="page" w:tblpX="1664" w:tblpY="345"/>
        <w:tblOverlap w:val="never"/>
        <w:tblW w:w="8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1536"/>
        <w:gridCol w:w="4445"/>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序号</w:t>
            </w:r>
          </w:p>
        </w:tc>
        <w:tc>
          <w:tcPr>
            <w:tcW w:w="1536" w:type="dxa"/>
            <w:tcBorders>
              <w:top w:val="single" w:color="000000" w:sz="4" w:space="0"/>
              <w:left w:val="nil"/>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评审因素</w:t>
            </w:r>
          </w:p>
        </w:tc>
        <w:tc>
          <w:tcPr>
            <w:tcW w:w="4445"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评审内容</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w:t>
            </w:r>
          </w:p>
        </w:tc>
        <w:tc>
          <w:tcPr>
            <w:tcW w:w="1536" w:type="dxa"/>
            <w:tcBorders>
              <w:top w:val="single" w:color="000000" w:sz="4" w:space="0"/>
              <w:left w:val="nil"/>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总体施工部署、场地平面布置及说明</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lang w:val="en-US" w:eastAsia="zh-CN"/>
                <w14:textFill>
                  <w14:solidFill>
                    <w14:schemeClr w14:val="tx1"/>
                  </w14:solidFill>
                </w14:textFill>
              </w:rPr>
              <w:t>3</w:t>
            </w:r>
            <w:r>
              <w:rPr>
                <w:rFonts w:hint="eastAsia" w:ascii="宋体" w:hAnsi="宋体"/>
                <w:color w:val="000000" w:themeColor="text1"/>
                <w:sz w:val="21"/>
                <w:szCs w:val="21"/>
                <w:highlight w:val="none"/>
                <w14:textFill>
                  <w14:solidFill>
                    <w14:schemeClr w14:val="tx1"/>
                  </w14:solidFill>
                </w14:textFill>
              </w:rPr>
              <w:t>分）</w:t>
            </w:r>
          </w:p>
        </w:tc>
        <w:tc>
          <w:tcPr>
            <w:tcW w:w="4445"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rPr>
                <w:rFonts w:ascii="宋体" w:hAnsi="宋体"/>
                <w:color w:val="000000" w:themeColor="text1"/>
                <w:sz w:val="21"/>
                <w:szCs w:val="21"/>
                <w:highlight w:val="none"/>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针对工程总体场地管控要求以及各专业穿插施工情况，制定整体工程施工场地布置、材料堆放、运输路线、交叉施工等实施方案。总分</w:t>
            </w:r>
            <w:r>
              <w:rPr>
                <w:rFonts w:hint="eastAsia" w:ascii="宋体" w:hAnsi="宋体"/>
                <w:snapToGrid w:val="0"/>
                <w:color w:val="000000" w:themeColor="text1"/>
                <w:sz w:val="21"/>
                <w:szCs w:val="21"/>
                <w:highlight w:val="none"/>
                <w:lang w:val="en-US" w:eastAsia="zh-CN"/>
                <w14:textFill>
                  <w14:solidFill>
                    <w14:schemeClr w14:val="tx1"/>
                  </w14:solidFill>
                </w14:textFill>
              </w:rPr>
              <w:t>3</w:t>
            </w:r>
            <w:r>
              <w:rPr>
                <w:rFonts w:hint="eastAsia" w:ascii="宋体" w:hAnsi="宋体"/>
                <w:snapToGrid w:val="0"/>
                <w:color w:val="000000" w:themeColor="text1"/>
                <w:sz w:val="21"/>
                <w:szCs w:val="21"/>
                <w:highlight w:val="none"/>
                <w14:textFill>
                  <w14:solidFill>
                    <w14:schemeClr w14:val="tx1"/>
                  </w14:solidFill>
                </w14:textFill>
              </w:rPr>
              <w:t>分，由专家综合评审打分</w:t>
            </w:r>
            <w:r>
              <w:rPr>
                <w:rFonts w:hint="eastAsia" w:ascii="宋体" w:hAnsi="宋体"/>
                <w:color w:val="000000" w:themeColor="text1"/>
                <w:sz w:val="21"/>
                <w:szCs w:val="21"/>
                <w:highlight w:val="none"/>
                <w14:textFill>
                  <w14:solidFill>
                    <w14:schemeClr w14:val="tx1"/>
                  </w14:solidFill>
                </w14:textFill>
              </w:rPr>
              <w:t>。未提供的不得分。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2.7-3.0]分，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1.8-2.7]分，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1.2-1.8]分，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strike w:val="0"/>
                <w:dstrike w:val="0"/>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vMerge w:val="restart"/>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w:t>
            </w:r>
          </w:p>
        </w:tc>
        <w:tc>
          <w:tcPr>
            <w:tcW w:w="1536" w:type="dxa"/>
            <w:vMerge w:val="restart"/>
            <w:tcBorders>
              <w:top w:val="single" w:color="000000" w:sz="4" w:space="0"/>
              <w:left w:val="nil"/>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主要施工方案（</w:t>
            </w:r>
            <w:r>
              <w:rPr>
                <w:rFonts w:hint="eastAsia" w:ascii="宋体" w:hAnsi="宋体"/>
                <w:color w:val="000000" w:themeColor="text1"/>
                <w:sz w:val="21"/>
                <w:szCs w:val="21"/>
                <w:highlight w:val="none"/>
                <w:lang w:val="en-US" w:eastAsia="zh-CN"/>
                <w14:textFill>
                  <w14:solidFill>
                    <w14:schemeClr w14:val="tx1"/>
                  </w14:solidFill>
                </w14:textFill>
              </w:rPr>
              <w:t>4</w:t>
            </w:r>
            <w:r>
              <w:rPr>
                <w:rFonts w:hint="eastAsia" w:ascii="宋体" w:hAnsi="宋体"/>
                <w:color w:val="000000" w:themeColor="text1"/>
                <w:sz w:val="21"/>
                <w:szCs w:val="21"/>
                <w:highlight w:val="none"/>
                <w14:textFill>
                  <w14:solidFill>
                    <w14:schemeClr w14:val="tx1"/>
                  </w14:solidFill>
                </w14:textFill>
              </w:rPr>
              <w:t>分）</w:t>
            </w:r>
          </w:p>
        </w:tc>
        <w:tc>
          <w:tcPr>
            <w:tcW w:w="4445"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rPr>
                <w:rFonts w:ascii="宋体" w:hAnsi="宋体" w:eastAsia="宋体" w:cs="Times New Roman"/>
                <w:color w:val="000000" w:themeColor="text1"/>
                <w:sz w:val="21"/>
                <w:szCs w:val="21"/>
                <w:highlight w:val="none"/>
                <w:lang w:val="en-US" w:eastAsia="zh-CN" w:bidi="ar-SA"/>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提供项目BIM实施的承诺及实施方案，包括但不限于：BIM组织架构及软硬件配置、</w:t>
            </w:r>
            <w:r>
              <w:rPr>
                <w:rFonts w:hint="eastAsia"/>
                <w:color w:val="auto"/>
                <w:sz w:val="21"/>
                <w:szCs w:val="21"/>
                <w:highlight w:val="none"/>
                <w:lang w:val="en-US" w:eastAsia="zh-CN"/>
              </w:rPr>
              <w:t>综合管线碰撞检测、漫游动画、</w:t>
            </w:r>
            <w:r>
              <w:rPr>
                <w:rFonts w:hint="eastAsia" w:ascii="宋体" w:hAnsi="宋体"/>
                <w:snapToGrid w:val="0"/>
                <w:color w:val="000000" w:themeColor="text1"/>
                <w:sz w:val="21"/>
                <w:szCs w:val="21"/>
                <w:highlight w:val="none"/>
                <w14:textFill>
                  <w14:solidFill>
                    <w14:schemeClr w14:val="tx1"/>
                  </w14:solidFill>
                </w14:textFill>
              </w:rPr>
              <w:t>工作流程、质量进度保证措施等</w:t>
            </w:r>
            <w:r>
              <w:rPr>
                <w:rFonts w:hint="eastAsia" w:ascii="宋体" w:hAnsi="宋体"/>
                <w:color w:val="000000" w:themeColor="text1"/>
                <w:sz w:val="21"/>
                <w:szCs w:val="21"/>
                <w:highlight w:val="none"/>
                <w14:textFill>
                  <w14:solidFill>
                    <w14:schemeClr w14:val="tx1"/>
                  </w14:solidFill>
                </w14:textFill>
              </w:rPr>
              <w:t>。</w:t>
            </w:r>
            <w:r>
              <w:rPr>
                <w:rFonts w:hint="eastAsia" w:ascii="宋体" w:hAnsi="宋体"/>
                <w:color w:val="FF0000"/>
                <w:sz w:val="21"/>
                <w:szCs w:val="21"/>
                <w:highlight w:val="none"/>
              </w:rPr>
              <w:t>总分</w:t>
            </w:r>
            <w:r>
              <w:rPr>
                <w:rFonts w:hint="eastAsia" w:ascii="宋体" w:hAnsi="宋体"/>
                <w:color w:val="FF0000"/>
                <w:sz w:val="21"/>
                <w:szCs w:val="21"/>
                <w:highlight w:val="none"/>
                <w:lang w:val="en-US" w:eastAsia="zh-CN"/>
              </w:rPr>
              <w:t>2</w:t>
            </w:r>
            <w:r>
              <w:rPr>
                <w:rFonts w:hint="eastAsia" w:ascii="宋体" w:hAnsi="宋体"/>
                <w:color w:val="FF0000"/>
                <w:sz w:val="21"/>
                <w:szCs w:val="21"/>
                <w:highlight w:val="none"/>
              </w:rPr>
              <w:t>分，</w:t>
            </w:r>
            <w:r>
              <w:rPr>
                <w:rFonts w:hint="eastAsia" w:ascii="宋体" w:hAnsi="宋体"/>
                <w:color w:val="000000" w:themeColor="text1"/>
                <w:sz w:val="21"/>
                <w:szCs w:val="21"/>
                <w:highlight w:val="none"/>
                <w14:textFill>
                  <w14:solidFill>
                    <w14:schemeClr w14:val="tx1"/>
                  </w14:solidFill>
                </w14:textFill>
              </w:rPr>
              <w:t>由专家综合评审打分。未提供的不得分。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1.8-2.0]分，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1.2-1.8]分，</w:t>
            </w:r>
          </w:p>
          <w:p>
            <w:pPr>
              <w:autoSpaceDE/>
              <w:autoSpaceDN/>
              <w:adjustRightInd/>
              <w:spacing w:line="288" w:lineRule="auto"/>
              <w:jc w:val="center"/>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0.8-1.2]分，</w:t>
            </w:r>
          </w:p>
          <w:p>
            <w:pPr>
              <w:autoSpaceDE/>
              <w:autoSpaceDN/>
              <w:adjustRightInd/>
              <w:spacing w:line="288" w:lineRule="auto"/>
              <w:jc w:val="center"/>
              <w:rPr>
                <w:rFonts w:ascii="宋体" w:hAnsi="宋体" w:eastAsia="宋体" w:cs="Times New Roman"/>
                <w:color w:val="000000" w:themeColor="text1"/>
                <w:sz w:val="21"/>
                <w:szCs w:val="21"/>
                <w:highlight w:val="none"/>
                <w:lang w:val="en-US" w:eastAsia="zh-CN" w:bidi="ar-SA"/>
                <w14:textFill>
                  <w14:solidFill>
                    <w14:schemeClr w14:val="tx1"/>
                  </w14:solidFill>
                </w14:textFill>
              </w:rPr>
            </w:pPr>
            <w:r>
              <w:rPr>
                <w:rFonts w:hint="eastAsia"/>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vMerge w:val="continue"/>
            <w:tcBorders>
              <w:left w:val="single" w:color="000000" w:sz="4" w:space="0"/>
              <w:bottom w:val="single" w:color="000000" w:sz="4" w:space="0"/>
              <w:right w:val="single" w:color="000000" w:sz="4" w:space="0"/>
            </w:tcBorders>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p>
        </w:tc>
        <w:tc>
          <w:tcPr>
            <w:tcW w:w="1536" w:type="dxa"/>
            <w:vMerge w:val="continue"/>
            <w:tcBorders>
              <w:left w:val="nil"/>
              <w:bottom w:val="single" w:color="000000" w:sz="4" w:space="0"/>
              <w:right w:val="single" w:color="000000" w:sz="4" w:space="0"/>
            </w:tcBorders>
          </w:tcPr>
          <w:p>
            <w:pPr>
              <w:autoSpaceDE/>
              <w:autoSpaceDN/>
              <w:adjustRightInd/>
              <w:spacing w:line="288" w:lineRule="auto"/>
              <w:rPr>
                <w:rFonts w:ascii="宋体" w:hAnsi="宋体"/>
                <w:color w:val="000000" w:themeColor="text1"/>
                <w:sz w:val="21"/>
                <w:szCs w:val="21"/>
                <w:highlight w:val="none"/>
                <w14:textFill>
                  <w14:solidFill>
                    <w14:schemeClr w14:val="tx1"/>
                  </w14:solidFill>
                </w14:textFill>
              </w:rPr>
            </w:pPr>
          </w:p>
        </w:tc>
        <w:tc>
          <w:tcPr>
            <w:tcW w:w="4445" w:type="dxa"/>
            <w:tcBorders>
              <w:top w:val="single" w:color="000000" w:sz="4" w:space="0"/>
              <w:left w:val="nil"/>
              <w:bottom w:val="single" w:color="000000" w:sz="4" w:space="0"/>
              <w:right w:val="single" w:color="auto" w:sz="4" w:space="0"/>
            </w:tcBorders>
            <w:vAlign w:val="center"/>
          </w:tcPr>
          <w:p>
            <w:pPr>
              <w:pStyle w:val="7"/>
              <w:rPr>
                <w:rFonts w:ascii="Arial" w:hAnsi="Arial" w:eastAsia="宋体" w:cs="Times New Roman"/>
                <w:color w:val="000000" w:themeColor="text1"/>
                <w:sz w:val="21"/>
                <w:szCs w:val="21"/>
                <w:highlight w:val="none"/>
                <w:lang w:val="en-US" w:eastAsia="zh-CN" w:bidi="ar-SA"/>
                <w14:textFill>
                  <w14:solidFill>
                    <w14:schemeClr w14:val="tx1"/>
                  </w14:solidFill>
                </w14:textFill>
              </w:rPr>
            </w:pPr>
            <w:r>
              <w:rPr>
                <w:rFonts w:hint="eastAsia" w:ascii="宋体" w:hAnsi="宋体" w:eastAsia="宋体" w:cs="Times New Roman"/>
                <w:snapToGrid w:val="0"/>
                <w:color w:val="000000" w:themeColor="text1"/>
                <w:sz w:val="21"/>
                <w:szCs w:val="21"/>
                <w:highlight w:val="none"/>
                <w:lang w:val="en-US" w:eastAsia="zh-CN" w:bidi="ar-SA"/>
                <w14:textFill>
                  <w14:solidFill>
                    <w14:schemeClr w14:val="tx1"/>
                  </w14:solidFill>
                </w14:textFill>
              </w:rPr>
              <w:t>根据项目特点，编制具有针对性的用于现场施工各项工程实施方案，包括但不限于大体积混凝土、综合管网、装配式工程及本项目涉及的危大工程。</w:t>
            </w:r>
            <w:r>
              <w:rPr>
                <w:rFonts w:hint="eastAsia" w:ascii="宋体" w:hAnsi="宋体" w:eastAsia="宋体" w:cs="Times New Roman"/>
                <w:snapToGrid w:val="0"/>
                <w:color w:val="FF0000"/>
                <w:sz w:val="21"/>
                <w:szCs w:val="21"/>
                <w:highlight w:val="none"/>
                <w:lang w:val="en-US" w:eastAsia="zh-CN" w:bidi="ar-SA"/>
              </w:rPr>
              <w:t>总分</w:t>
            </w:r>
            <w:r>
              <w:rPr>
                <w:rFonts w:hint="eastAsia" w:ascii="宋体" w:hAnsi="宋体" w:cs="Times New Roman"/>
                <w:snapToGrid w:val="0"/>
                <w:color w:val="FF0000"/>
                <w:sz w:val="21"/>
                <w:szCs w:val="21"/>
                <w:highlight w:val="none"/>
                <w:lang w:val="en-US" w:eastAsia="zh-CN" w:bidi="ar-SA"/>
              </w:rPr>
              <w:t>2</w:t>
            </w:r>
            <w:r>
              <w:rPr>
                <w:rFonts w:hint="eastAsia" w:ascii="宋体" w:hAnsi="宋体" w:eastAsia="宋体" w:cs="Times New Roman"/>
                <w:snapToGrid w:val="0"/>
                <w:color w:val="FF0000"/>
                <w:sz w:val="21"/>
                <w:szCs w:val="21"/>
                <w:highlight w:val="none"/>
                <w:lang w:val="en-US" w:eastAsia="zh-CN" w:bidi="ar-SA"/>
              </w:rPr>
              <w:t>分</w:t>
            </w:r>
            <w:r>
              <w:rPr>
                <w:rFonts w:hint="eastAsia" w:ascii="宋体" w:hAnsi="宋体" w:eastAsia="宋体" w:cs="Times New Roman"/>
                <w:snapToGrid w:val="0"/>
                <w:color w:val="000000" w:themeColor="text1"/>
                <w:sz w:val="21"/>
                <w:szCs w:val="21"/>
                <w:highlight w:val="none"/>
                <w:lang w:val="en-US" w:eastAsia="zh-CN" w:bidi="ar-SA"/>
                <w14:textFill>
                  <w14:solidFill>
                    <w14:schemeClr w14:val="tx1"/>
                  </w14:solidFill>
                </w14:textFill>
              </w:rPr>
              <w:t>，由专家综合评审打分。未提供不得分。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1.8-2.0]分，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1.2-1.8]分，</w:t>
            </w:r>
          </w:p>
          <w:p>
            <w:pPr>
              <w:autoSpaceDE/>
              <w:autoSpaceDN/>
              <w:adjustRightInd/>
              <w:spacing w:line="288" w:lineRule="auto"/>
              <w:jc w:val="center"/>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0.8-1.2]分，</w:t>
            </w:r>
          </w:p>
          <w:p>
            <w:pPr>
              <w:autoSpaceDE/>
              <w:autoSpaceDN/>
              <w:adjustRightInd/>
              <w:spacing w:line="288" w:lineRule="auto"/>
              <w:jc w:val="center"/>
              <w:rPr>
                <w:rFonts w:hint="default" w:ascii="宋体" w:hAnsi="宋体" w:eastAsia="宋体" w:cs="Times New Roman"/>
                <w:color w:val="000000" w:themeColor="text1"/>
                <w:sz w:val="21"/>
                <w:szCs w:val="21"/>
                <w:highlight w:val="none"/>
                <w:lang w:val="en-US" w:eastAsia="zh-CN" w:bidi="ar-SA"/>
                <w14:textFill>
                  <w14:solidFill>
                    <w14:schemeClr w14:val="tx1"/>
                  </w14:solidFill>
                </w14:textFill>
              </w:rPr>
            </w:pPr>
            <w:r>
              <w:rPr>
                <w:rFonts w:hint="eastAsia"/>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92" w:type="dxa"/>
            <w:vMerge w:val="restart"/>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w:t>
            </w:r>
          </w:p>
        </w:tc>
        <w:tc>
          <w:tcPr>
            <w:tcW w:w="1536" w:type="dxa"/>
            <w:vMerge w:val="restart"/>
            <w:tcBorders>
              <w:top w:val="single" w:color="000000" w:sz="4" w:space="0"/>
              <w:left w:val="nil"/>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工程质量保障措施</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lang w:val="en-US" w:eastAsia="zh-CN"/>
                <w14:textFill>
                  <w14:solidFill>
                    <w14:schemeClr w14:val="tx1"/>
                  </w14:solidFill>
                </w14:textFill>
              </w:rPr>
              <w:t>5</w:t>
            </w:r>
            <w:r>
              <w:rPr>
                <w:rFonts w:hint="eastAsia" w:ascii="宋体" w:hAnsi="宋体"/>
                <w:color w:val="000000" w:themeColor="text1"/>
                <w:sz w:val="21"/>
                <w:szCs w:val="21"/>
                <w:highlight w:val="none"/>
                <w14:textFill>
                  <w14:solidFill>
                    <w14:schemeClr w14:val="tx1"/>
                  </w14:solidFill>
                </w14:textFill>
              </w:rPr>
              <w:t>分）</w:t>
            </w:r>
          </w:p>
        </w:tc>
        <w:tc>
          <w:tcPr>
            <w:tcW w:w="4445" w:type="dxa"/>
            <w:tcBorders>
              <w:top w:val="single" w:color="000000" w:sz="4" w:space="0"/>
              <w:left w:val="nil"/>
              <w:right w:val="single" w:color="auto" w:sz="4" w:space="0"/>
            </w:tcBorders>
            <w:vAlign w:val="center"/>
          </w:tcPr>
          <w:p>
            <w:pPr>
              <w:autoSpaceDE/>
              <w:autoSpaceDN/>
              <w:adjustRightInd/>
              <w:spacing w:line="288" w:lineRule="auto"/>
              <w:rPr>
                <w:rFonts w:ascii="宋体" w:hAnsi="宋体"/>
                <w:color w:val="000000" w:themeColor="text1"/>
                <w:sz w:val="21"/>
                <w:szCs w:val="21"/>
                <w:highlight w:val="none"/>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根据投标单位针对本工程施工质量保证措施、材料和设备质量保证措施的科学、合理、高效，制度建设规划针对性等情况</w:t>
            </w:r>
            <w:r>
              <w:rPr>
                <w:rFonts w:hint="eastAsia" w:ascii="宋体" w:hAnsi="宋体"/>
                <w:color w:val="000000" w:themeColor="text1"/>
                <w:sz w:val="21"/>
                <w:szCs w:val="21"/>
                <w:highlight w:val="none"/>
                <w14:textFill>
                  <w14:solidFill>
                    <w14:schemeClr w14:val="tx1"/>
                  </w14:solidFill>
                </w14:textFill>
              </w:rPr>
              <w:t>。</w:t>
            </w:r>
            <w:r>
              <w:rPr>
                <w:rFonts w:hint="eastAsia" w:ascii="宋体" w:hAnsi="宋体"/>
                <w:snapToGrid w:val="0"/>
                <w:color w:val="000000" w:themeColor="text1"/>
                <w:sz w:val="21"/>
                <w:szCs w:val="21"/>
                <w:highlight w:val="none"/>
                <w14:textFill>
                  <w14:solidFill>
                    <w14:schemeClr w14:val="tx1"/>
                  </w14:solidFill>
                </w14:textFill>
              </w:rPr>
              <w:t>总分</w:t>
            </w:r>
            <w:r>
              <w:rPr>
                <w:rFonts w:hint="eastAsia" w:ascii="宋体" w:hAnsi="宋体"/>
                <w:snapToGrid w:val="0"/>
                <w:color w:val="000000" w:themeColor="text1"/>
                <w:sz w:val="21"/>
                <w:szCs w:val="21"/>
                <w:highlight w:val="none"/>
                <w:lang w:val="en-US" w:eastAsia="zh-CN"/>
                <w14:textFill>
                  <w14:solidFill>
                    <w14:schemeClr w14:val="tx1"/>
                  </w14:solidFill>
                </w14:textFill>
              </w:rPr>
              <w:t>2</w:t>
            </w:r>
            <w:r>
              <w:rPr>
                <w:rFonts w:hint="eastAsia" w:ascii="宋体" w:hAnsi="宋体"/>
                <w:snapToGrid w:val="0"/>
                <w:color w:val="000000" w:themeColor="text1"/>
                <w:sz w:val="21"/>
                <w:szCs w:val="21"/>
                <w:highlight w:val="none"/>
                <w14:textFill>
                  <w14:solidFill>
                    <w14:schemeClr w14:val="tx1"/>
                  </w14:solidFill>
                </w14:textFill>
              </w:rPr>
              <w:t>分，由专家综合评审打分</w:t>
            </w:r>
            <w:r>
              <w:rPr>
                <w:rFonts w:hint="eastAsia" w:ascii="宋体" w:hAnsi="宋体"/>
                <w:color w:val="000000" w:themeColor="text1"/>
                <w:sz w:val="21"/>
                <w:szCs w:val="21"/>
                <w:highlight w:val="none"/>
                <w14:textFill>
                  <w14:solidFill>
                    <w14:schemeClr w14:val="tx1"/>
                  </w14:solidFill>
                </w14:textFill>
              </w:rPr>
              <w:t>。未提供的不得分。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1.8-2.0]分，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1.2-1.8]分，</w:t>
            </w:r>
          </w:p>
          <w:p>
            <w:pPr>
              <w:autoSpaceDE/>
              <w:autoSpaceDN/>
              <w:adjustRightInd/>
              <w:spacing w:line="288" w:lineRule="auto"/>
              <w:jc w:val="center"/>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0.8-1.2]分，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92" w:type="dxa"/>
            <w:vMerge w:val="continue"/>
            <w:tcBorders>
              <w:left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p>
        </w:tc>
        <w:tc>
          <w:tcPr>
            <w:tcW w:w="1536" w:type="dxa"/>
            <w:vMerge w:val="continue"/>
            <w:tcBorders>
              <w:left w:val="nil"/>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p>
        </w:tc>
        <w:tc>
          <w:tcPr>
            <w:tcW w:w="4445" w:type="dxa"/>
            <w:tcBorders>
              <w:top w:val="single" w:color="000000" w:sz="4" w:space="0"/>
              <w:left w:val="nil"/>
              <w:right w:val="single" w:color="auto" w:sz="4" w:space="0"/>
            </w:tcBorders>
            <w:vAlign w:val="center"/>
          </w:tcPr>
          <w:p>
            <w:pPr>
              <w:spacing w:line="340" w:lineRule="exact"/>
              <w:jc w:val="both"/>
              <w:rPr>
                <w:rFonts w:hint="eastAsia" w:ascii="宋体" w:hAnsi="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14:textFill>
                  <w14:solidFill>
                    <w14:schemeClr w14:val="tx1"/>
                  </w14:solidFill>
                </w14:textFill>
              </w:rPr>
              <w:t>装配式建筑材料或商品混凝土的保障能力：</w:t>
            </w:r>
          </w:p>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委员会根据投标人对本项目装配式建筑材料（PC）或商品混凝土的的供货能力横向比较打分，包括但不限于：投标人与装配式生产基地或商品混凝土生产基地之间供货关系紧密程度等供货稳定性及可靠性情况、装配式生产基地或商品混凝土生产基地是否已投产等内容。总分</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分，由专家综合评审，横向打分。</w:t>
            </w:r>
          </w:p>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注：a、投标文件中应提供投标人与装配式生产基地或商品混凝土生产基地之间的控股证明材料或供货意向协议。（投标人名称与生产基地企业名称一致的无需提供供货关系证明材料）。</w:t>
            </w:r>
          </w:p>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b、投标文件中应提供生产基地企业营业执照。</w:t>
            </w:r>
          </w:p>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c、投标文件中应提供销售业绩证明材料及发票。</w:t>
            </w:r>
          </w:p>
          <w:p>
            <w:pPr>
              <w:spacing w:line="264" w:lineRule="auto"/>
              <w:rPr>
                <w:rFonts w:ascii="宋体" w:hAnsi="宋体"/>
                <w:snapToGrid w:val="0"/>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d、投标人认为需提供的其他资料。</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2.7-3.0]分，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1.8-2.7]分，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1.2-1.8]分，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strike w:val="0"/>
                <w:dstrike w:val="0"/>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w:t>
            </w:r>
          </w:p>
        </w:tc>
        <w:tc>
          <w:tcPr>
            <w:tcW w:w="1536" w:type="dxa"/>
            <w:tcBorders>
              <w:top w:val="single" w:color="000000" w:sz="4" w:space="0"/>
              <w:left w:val="nil"/>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施工进度计划和保障措施（</w:t>
            </w:r>
            <w:r>
              <w:rPr>
                <w:rFonts w:hint="eastAsia" w:ascii="宋体" w:hAnsi="宋体"/>
                <w:strike w:val="0"/>
                <w:dstrike w:val="0"/>
                <w:color w:val="000000" w:themeColor="text1"/>
                <w:sz w:val="21"/>
                <w:szCs w:val="21"/>
                <w:highlight w:val="none"/>
                <w:lang w:val="en-US" w:eastAsia="zh-CN"/>
                <w14:textFill>
                  <w14:solidFill>
                    <w14:schemeClr w14:val="tx1"/>
                  </w14:solidFill>
                </w14:textFill>
              </w:rPr>
              <w:t>4</w:t>
            </w:r>
            <w:r>
              <w:rPr>
                <w:rFonts w:hint="eastAsia" w:ascii="宋体" w:hAnsi="宋体"/>
                <w:strike w:val="0"/>
                <w:dstrike w:val="0"/>
                <w:color w:val="000000" w:themeColor="text1"/>
                <w:sz w:val="21"/>
                <w:szCs w:val="21"/>
                <w:highlight w:val="none"/>
                <w14:textFill>
                  <w14:solidFill>
                    <w14:schemeClr w14:val="tx1"/>
                  </w14:solidFill>
                </w14:textFill>
              </w:rPr>
              <w:t>分）</w:t>
            </w:r>
          </w:p>
        </w:tc>
        <w:tc>
          <w:tcPr>
            <w:tcW w:w="4445"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snapToGrid w:val="0"/>
                <w:color w:val="000000" w:themeColor="text1"/>
                <w:sz w:val="21"/>
                <w:szCs w:val="21"/>
                <w:highlight w:val="none"/>
                <w14:textFill>
                  <w14:solidFill>
                    <w14:schemeClr w14:val="tx1"/>
                  </w14:solidFill>
                </w14:textFill>
              </w:rPr>
              <w:t>根据投标单位针对本工程</w:t>
            </w:r>
            <w:r>
              <w:rPr>
                <w:rFonts w:hint="eastAsia" w:ascii="宋体" w:hAnsi="宋体"/>
                <w:strike w:val="0"/>
                <w:dstrike w:val="0"/>
                <w:color w:val="000000" w:themeColor="text1"/>
                <w:sz w:val="21"/>
                <w:szCs w:val="21"/>
                <w:highlight w:val="none"/>
                <w14:textFill>
                  <w14:solidFill>
                    <w14:schemeClr w14:val="tx1"/>
                  </w14:solidFill>
                </w14:textFill>
              </w:rPr>
              <w:t>施工进度计划及保证</w:t>
            </w:r>
            <w:r>
              <w:rPr>
                <w:rFonts w:hint="eastAsia" w:ascii="宋体" w:hAnsi="宋体"/>
                <w:strike w:val="0"/>
                <w:dstrike w:val="0"/>
                <w:snapToGrid w:val="0"/>
                <w:color w:val="000000" w:themeColor="text1"/>
                <w:sz w:val="21"/>
                <w:szCs w:val="21"/>
                <w:highlight w:val="none"/>
                <w14:textFill>
                  <w14:solidFill>
                    <w14:schemeClr w14:val="tx1"/>
                  </w14:solidFill>
                </w14:textFill>
              </w:rPr>
              <w:t>措施、</w:t>
            </w:r>
            <w:r>
              <w:rPr>
                <w:rFonts w:hint="eastAsia" w:ascii="宋体" w:hAnsi="宋体"/>
                <w:strike w:val="0"/>
                <w:dstrike w:val="0"/>
                <w:color w:val="000000" w:themeColor="text1"/>
                <w:sz w:val="21"/>
                <w:szCs w:val="21"/>
                <w:highlight w:val="none"/>
                <w14:textFill>
                  <w14:solidFill>
                    <w14:schemeClr w14:val="tx1"/>
                  </w14:solidFill>
                </w14:textFill>
              </w:rPr>
              <w:t>劳动力及材料供应计划</w:t>
            </w:r>
            <w:r>
              <w:rPr>
                <w:rFonts w:hint="eastAsia" w:ascii="宋体" w:hAnsi="宋体"/>
                <w:strike w:val="0"/>
                <w:dstrike w:val="0"/>
                <w:snapToGrid w:val="0"/>
                <w:color w:val="000000" w:themeColor="text1"/>
                <w:sz w:val="21"/>
                <w:szCs w:val="21"/>
                <w:highlight w:val="none"/>
                <w14:textFill>
                  <w14:solidFill>
                    <w14:schemeClr w14:val="tx1"/>
                  </w14:solidFill>
                </w14:textFill>
              </w:rPr>
              <w:t>的科学、合理等情况。总分</w:t>
            </w:r>
            <w:r>
              <w:rPr>
                <w:rFonts w:hint="eastAsia" w:ascii="宋体" w:hAnsi="宋体"/>
                <w:strike w:val="0"/>
                <w:dstrike w:val="0"/>
                <w:snapToGrid w:val="0"/>
                <w:color w:val="000000" w:themeColor="text1"/>
                <w:sz w:val="21"/>
                <w:szCs w:val="21"/>
                <w:highlight w:val="none"/>
                <w:lang w:val="en-US" w:eastAsia="zh-CN"/>
                <w14:textFill>
                  <w14:solidFill>
                    <w14:schemeClr w14:val="tx1"/>
                  </w14:solidFill>
                </w14:textFill>
              </w:rPr>
              <w:t>4</w:t>
            </w:r>
            <w:r>
              <w:rPr>
                <w:rFonts w:hint="eastAsia" w:ascii="宋体" w:hAnsi="宋体"/>
                <w:strike w:val="0"/>
                <w:dstrike w:val="0"/>
                <w:snapToGrid w:val="0"/>
                <w:color w:val="000000" w:themeColor="text1"/>
                <w:sz w:val="21"/>
                <w:szCs w:val="21"/>
                <w:highlight w:val="none"/>
                <w14:textFill>
                  <w14:solidFill>
                    <w14:schemeClr w14:val="tx1"/>
                  </w14:solidFill>
                </w14:textFill>
              </w:rPr>
              <w:t>分，由专家综合评审打分</w:t>
            </w:r>
            <w:r>
              <w:rPr>
                <w:rFonts w:hint="eastAsia" w:ascii="宋体" w:hAnsi="宋体"/>
                <w:strike w:val="0"/>
                <w:dstrike w:val="0"/>
                <w:color w:val="000000" w:themeColor="text1"/>
                <w:sz w:val="21"/>
                <w:szCs w:val="21"/>
                <w:highlight w:val="none"/>
                <w14:textFill>
                  <w14:solidFill>
                    <w14:schemeClr w14:val="tx1"/>
                  </w14:solidFill>
                </w14:textFill>
              </w:rPr>
              <w:t>。未提供的不得分。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3.6</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4</w:t>
            </w:r>
            <w:r>
              <w:rPr>
                <w:rFonts w:hint="eastAsia" w:ascii="宋体" w:hAnsi="宋体"/>
                <w:strike w:val="0"/>
                <w:dstrike w:val="0"/>
                <w:color w:val="000000" w:themeColor="text1"/>
                <w:sz w:val="21"/>
                <w:szCs w:val="21"/>
                <w:highlight w:val="none"/>
                <w14:textFill>
                  <w14:solidFill>
                    <w14:schemeClr w14:val="tx1"/>
                  </w14:solidFill>
                </w14:textFill>
              </w:rPr>
              <w:t>.0]分，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2.4</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3.6</w:t>
            </w:r>
            <w:r>
              <w:rPr>
                <w:rFonts w:hint="eastAsia" w:ascii="宋体" w:hAnsi="宋体"/>
                <w:strike w:val="0"/>
                <w:dstrike w:val="0"/>
                <w:color w:val="000000" w:themeColor="text1"/>
                <w:sz w:val="21"/>
                <w:szCs w:val="21"/>
                <w:highlight w:val="none"/>
                <w14:textFill>
                  <w14:solidFill>
                    <w14:schemeClr w14:val="tx1"/>
                  </w14:solidFill>
                </w14:textFill>
              </w:rPr>
              <w:t>]分，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1.6</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2.4</w:t>
            </w:r>
            <w:r>
              <w:rPr>
                <w:rFonts w:hint="eastAsia" w:ascii="宋体" w:hAnsi="宋体"/>
                <w:strike w:val="0"/>
                <w:dstrike w:val="0"/>
                <w:color w:val="000000" w:themeColor="text1"/>
                <w:sz w:val="21"/>
                <w:szCs w:val="21"/>
                <w:highlight w:val="none"/>
                <w14:textFill>
                  <w14:solidFill>
                    <w14:schemeClr w14:val="tx1"/>
                  </w14:solidFill>
                </w14:textFill>
              </w:rPr>
              <w:t>]分，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strike w:val="0"/>
                <w:dstrike w:val="0"/>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rFonts w:ascii="宋体" w:hAnsi="宋体"/>
                <w:strike/>
                <w:color w:val="000000" w:themeColor="text1"/>
                <w:sz w:val="21"/>
                <w:szCs w:val="21"/>
                <w:highlight w:val="none"/>
                <w14:textFill>
                  <w14:solidFill>
                    <w14:schemeClr w14:val="tx1"/>
                  </w14:solidFill>
                </w14:textFill>
              </w:rPr>
            </w:pPr>
            <w:r>
              <w:rPr>
                <w:rFonts w:hint="eastAsia" w:ascii="宋体" w:hAnsi="宋体"/>
                <w:strike w:val="0"/>
                <w:color w:val="000000" w:themeColor="text1"/>
                <w:sz w:val="21"/>
                <w:szCs w:val="21"/>
                <w:highlight w:val="none"/>
                <w14:textFill>
                  <w14:solidFill>
                    <w14:schemeClr w14:val="tx1"/>
                  </w14:solidFill>
                </w14:textFill>
              </w:rPr>
              <w:t>5</w:t>
            </w:r>
          </w:p>
        </w:tc>
        <w:tc>
          <w:tcPr>
            <w:tcW w:w="1536" w:type="dxa"/>
            <w:tcBorders>
              <w:top w:val="single" w:color="000000" w:sz="4" w:space="0"/>
              <w:left w:val="nil"/>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安全生产、文明施工、环境保护措施</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4</w:t>
            </w:r>
            <w:r>
              <w:rPr>
                <w:rFonts w:hint="eastAsia" w:ascii="宋体" w:hAnsi="宋体"/>
                <w:strike w:val="0"/>
                <w:dstrike w:val="0"/>
                <w:color w:val="000000" w:themeColor="text1"/>
                <w:sz w:val="21"/>
                <w:szCs w:val="21"/>
                <w:highlight w:val="none"/>
                <w14:textFill>
                  <w14:solidFill>
                    <w14:schemeClr w14:val="tx1"/>
                  </w14:solidFill>
                </w14:textFill>
              </w:rPr>
              <w:t>分）</w:t>
            </w:r>
          </w:p>
        </w:tc>
        <w:tc>
          <w:tcPr>
            <w:tcW w:w="4445"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snapToGrid w:val="0"/>
                <w:color w:val="000000" w:themeColor="text1"/>
                <w:sz w:val="21"/>
                <w:szCs w:val="21"/>
                <w:highlight w:val="none"/>
                <w14:textFill>
                  <w14:solidFill>
                    <w14:schemeClr w14:val="tx1"/>
                  </w14:solidFill>
                </w14:textFill>
              </w:rPr>
              <w:t>根据投标单位针对本工程</w:t>
            </w:r>
            <w:r>
              <w:rPr>
                <w:rFonts w:hint="eastAsia" w:ascii="宋体" w:hAnsi="宋体"/>
                <w:strike w:val="0"/>
                <w:dstrike w:val="0"/>
                <w:color w:val="000000" w:themeColor="text1"/>
                <w:sz w:val="21"/>
                <w:szCs w:val="21"/>
                <w:highlight w:val="none"/>
                <w14:textFill>
                  <w14:solidFill>
                    <w14:schemeClr w14:val="tx1"/>
                  </w14:solidFill>
                </w14:textFill>
              </w:rPr>
              <w:t>安全生产措施、文明施工措施、环境保护</w:t>
            </w:r>
            <w:r>
              <w:rPr>
                <w:rFonts w:hint="eastAsia" w:ascii="宋体" w:hAnsi="宋体"/>
                <w:strike w:val="0"/>
                <w:dstrike w:val="0"/>
                <w:snapToGrid w:val="0"/>
                <w:color w:val="000000" w:themeColor="text1"/>
                <w:sz w:val="21"/>
                <w:szCs w:val="21"/>
                <w:highlight w:val="none"/>
                <w14:textFill>
                  <w14:solidFill>
                    <w14:schemeClr w14:val="tx1"/>
                  </w14:solidFill>
                </w14:textFill>
              </w:rPr>
              <w:t>措施的科学、合理等情况</w:t>
            </w:r>
            <w:r>
              <w:rPr>
                <w:rFonts w:hint="eastAsia" w:ascii="宋体" w:hAnsi="宋体"/>
                <w:strike w:val="0"/>
                <w:dstrike w:val="0"/>
                <w:color w:val="000000" w:themeColor="text1"/>
                <w:sz w:val="21"/>
                <w:szCs w:val="21"/>
                <w:highlight w:val="none"/>
                <w14:textFill>
                  <w14:solidFill>
                    <w14:schemeClr w14:val="tx1"/>
                  </w14:solidFill>
                </w14:textFill>
              </w:rPr>
              <w:t>。总分</w:t>
            </w:r>
            <w:r>
              <w:rPr>
                <w:rFonts w:hint="eastAsia" w:ascii="宋体" w:hAnsi="宋体"/>
                <w:strike w:val="0"/>
                <w:dstrike w:val="0"/>
                <w:color w:val="000000" w:themeColor="text1"/>
                <w:sz w:val="21"/>
                <w:szCs w:val="21"/>
                <w:highlight w:val="none"/>
                <w:lang w:val="en-US" w:eastAsia="zh-CN"/>
                <w14:textFill>
                  <w14:solidFill>
                    <w14:schemeClr w14:val="tx1"/>
                  </w14:solidFill>
                </w14:textFill>
              </w:rPr>
              <w:t>4</w:t>
            </w:r>
            <w:r>
              <w:rPr>
                <w:rFonts w:hint="eastAsia" w:ascii="宋体" w:hAnsi="宋体"/>
                <w:strike w:val="0"/>
                <w:dstrike w:val="0"/>
                <w:color w:val="000000" w:themeColor="text1"/>
                <w:sz w:val="21"/>
                <w:szCs w:val="21"/>
                <w:highlight w:val="none"/>
                <w14:textFill>
                  <w14:solidFill>
                    <w14:schemeClr w14:val="tx1"/>
                  </w14:solidFill>
                </w14:textFill>
              </w:rPr>
              <w:t>分，由专家综合评审打分。未提供的不得分。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3.6</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4</w:t>
            </w:r>
            <w:r>
              <w:rPr>
                <w:rFonts w:hint="eastAsia" w:ascii="宋体" w:hAnsi="宋体"/>
                <w:strike w:val="0"/>
                <w:dstrike w:val="0"/>
                <w:color w:val="000000" w:themeColor="text1"/>
                <w:sz w:val="21"/>
                <w:szCs w:val="21"/>
                <w:highlight w:val="none"/>
                <w14:textFill>
                  <w14:solidFill>
                    <w14:schemeClr w14:val="tx1"/>
                  </w14:solidFill>
                </w14:textFill>
              </w:rPr>
              <w:t>.0]分，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2.4</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3.6</w:t>
            </w:r>
            <w:r>
              <w:rPr>
                <w:rFonts w:hint="eastAsia" w:ascii="宋体" w:hAnsi="宋体"/>
                <w:strike w:val="0"/>
                <w:dstrike w:val="0"/>
                <w:color w:val="000000" w:themeColor="text1"/>
                <w:sz w:val="21"/>
                <w:szCs w:val="21"/>
                <w:highlight w:val="none"/>
                <w14:textFill>
                  <w14:solidFill>
                    <w14:schemeClr w14:val="tx1"/>
                  </w14:solidFill>
                </w14:textFill>
              </w:rPr>
              <w:t>]分，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1.6</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2.4</w:t>
            </w:r>
            <w:r>
              <w:rPr>
                <w:rFonts w:hint="eastAsia" w:ascii="宋体" w:hAnsi="宋体"/>
                <w:strike w:val="0"/>
                <w:dstrike w:val="0"/>
                <w:color w:val="000000" w:themeColor="text1"/>
                <w:sz w:val="21"/>
                <w:szCs w:val="21"/>
                <w:highlight w:val="none"/>
                <w14:textFill>
                  <w14:solidFill>
                    <w14:schemeClr w14:val="tx1"/>
                  </w14:solidFill>
                </w14:textFill>
              </w:rPr>
              <w:t>]分，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strike w:val="0"/>
                <w:dstrike w:val="0"/>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692" w:type="dxa"/>
            <w:tcBorders>
              <w:left w:val="single" w:color="000000" w:sz="4" w:space="0"/>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6</w:t>
            </w:r>
          </w:p>
        </w:tc>
        <w:tc>
          <w:tcPr>
            <w:tcW w:w="1536" w:type="dxa"/>
            <w:tcBorders>
              <w:left w:val="nil"/>
              <w:bottom w:val="single" w:color="000000" w:sz="4" w:space="0"/>
              <w:right w:val="single" w:color="000000" w:sz="4" w:space="0"/>
            </w:tcBorders>
            <w:vAlign w:val="center"/>
          </w:tcPr>
          <w:p>
            <w:pPr>
              <w:autoSpaceDE/>
              <w:autoSpaceDN/>
              <w:adjustRightInd/>
              <w:spacing w:line="288" w:lineRule="auto"/>
              <w:jc w:val="center"/>
              <w:rPr>
                <w:rFonts w:ascii="宋体" w:hAnsi="宋体"/>
                <w:snapToGrid w:val="0"/>
                <w:color w:val="000000" w:themeColor="text1"/>
                <w:sz w:val="21"/>
                <w:szCs w:val="21"/>
                <w:highlight w:val="none"/>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项目管理人员配置情况</w:t>
            </w:r>
          </w:p>
          <w:p>
            <w:pPr>
              <w:autoSpaceDE/>
              <w:autoSpaceDN/>
              <w:adjustRightInd/>
              <w:spacing w:line="288" w:lineRule="auto"/>
              <w:jc w:val="center"/>
              <w:rPr>
                <w:rFonts w:ascii="宋体" w:hAnsi="宋体"/>
                <w:snapToGrid w:val="0"/>
                <w:color w:val="000000" w:themeColor="text1"/>
                <w:sz w:val="21"/>
                <w:szCs w:val="21"/>
                <w:highlight w:val="none"/>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w:t>
            </w:r>
            <w:r>
              <w:rPr>
                <w:rFonts w:hint="eastAsia" w:ascii="宋体" w:hAnsi="宋体"/>
                <w:snapToGrid w:val="0"/>
                <w:color w:val="000000" w:themeColor="text1"/>
                <w:sz w:val="21"/>
                <w:szCs w:val="21"/>
                <w:highlight w:val="none"/>
                <w:lang w:val="en-US" w:eastAsia="zh-CN"/>
                <w14:textFill>
                  <w14:solidFill>
                    <w14:schemeClr w14:val="tx1"/>
                  </w14:solidFill>
                </w14:textFill>
              </w:rPr>
              <w:t>4</w:t>
            </w:r>
            <w:r>
              <w:rPr>
                <w:rFonts w:hint="eastAsia" w:ascii="宋体" w:hAnsi="宋体"/>
                <w:snapToGrid w:val="0"/>
                <w:color w:val="000000" w:themeColor="text1"/>
                <w:sz w:val="21"/>
                <w:szCs w:val="21"/>
                <w:highlight w:val="none"/>
                <w14:textFill>
                  <w14:solidFill>
                    <w14:schemeClr w14:val="tx1"/>
                  </w14:solidFill>
                </w14:textFill>
              </w:rPr>
              <w:t>分）</w:t>
            </w:r>
          </w:p>
        </w:tc>
        <w:tc>
          <w:tcPr>
            <w:tcW w:w="4445"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rPr>
                <w:rFonts w:ascii="宋体" w:hAnsi="宋体"/>
                <w:color w:val="000000" w:themeColor="text1"/>
                <w:sz w:val="21"/>
                <w:szCs w:val="21"/>
                <w:highlight w:val="none"/>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根据投标单位针对本工程的项目管理团队组织架构（拟派人员须纳入现场人脸识别电子考勤系统）、项目管理体系、管理人员工作经验（包括创杯工作经验）等。总分</w:t>
            </w:r>
            <w:r>
              <w:rPr>
                <w:rFonts w:hint="eastAsia" w:ascii="宋体" w:hAnsi="宋体"/>
                <w:snapToGrid w:val="0"/>
                <w:color w:val="000000" w:themeColor="text1"/>
                <w:sz w:val="21"/>
                <w:szCs w:val="21"/>
                <w:highlight w:val="none"/>
                <w:lang w:val="en-US" w:eastAsia="zh-CN"/>
                <w14:textFill>
                  <w14:solidFill>
                    <w14:schemeClr w14:val="tx1"/>
                  </w14:solidFill>
                </w14:textFill>
              </w:rPr>
              <w:t>4</w:t>
            </w:r>
            <w:r>
              <w:rPr>
                <w:rFonts w:hint="eastAsia" w:ascii="宋体" w:hAnsi="宋体"/>
                <w:snapToGrid w:val="0"/>
                <w:color w:val="000000" w:themeColor="text1"/>
                <w:sz w:val="21"/>
                <w:szCs w:val="21"/>
                <w:highlight w:val="none"/>
                <w14:textFill>
                  <w14:solidFill>
                    <w14:schemeClr w14:val="tx1"/>
                  </w14:solidFill>
                </w14:textFill>
              </w:rPr>
              <w:t>分，由专家综合评审打分</w:t>
            </w:r>
            <w:r>
              <w:rPr>
                <w:rFonts w:hint="eastAsia" w:ascii="宋体" w:hAnsi="宋体"/>
                <w:color w:val="000000" w:themeColor="text1"/>
                <w:sz w:val="21"/>
                <w:szCs w:val="21"/>
                <w:highlight w:val="none"/>
                <w14:textFill>
                  <w14:solidFill>
                    <w14:schemeClr w14:val="tx1"/>
                  </w14:solidFill>
                </w14:textFill>
              </w:rPr>
              <w:t>。未提供的不得分。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3.6</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4</w:t>
            </w:r>
            <w:r>
              <w:rPr>
                <w:rFonts w:hint="eastAsia" w:ascii="宋体" w:hAnsi="宋体"/>
                <w:strike w:val="0"/>
                <w:dstrike w:val="0"/>
                <w:color w:val="000000" w:themeColor="text1"/>
                <w:sz w:val="21"/>
                <w:szCs w:val="21"/>
                <w:highlight w:val="none"/>
                <w14:textFill>
                  <w14:solidFill>
                    <w14:schemeClr w14:val="tx1"/>
                  </w14:solidFill>
                </w14:textFill>
              </w:rPr>
              <w:t>.0]分，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2.4</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3.6</w:t>
            </w:r>
            <w:r>
              <w:rPr>
                <w:rFonts w:hint="eastAsia" w:ascii="宋体" w:hAnsi="宋体"/>
                <w:strike w:val="0"/>
                <w:dstrike w:val="0"/>
                <w:color w:val="000000" w:themeColor="text1"/>
                <w:sz w:val="21"/>
                <w:szCs w:val="21"/>
                <w:highlight w:val="none"/>
                <w14:textFill>
                  <w14:solidFill>
                    <w14:schemeClr w14:val="tx1"/>
                  </w14:solidFill>
                </w14:textFill>
              </w:rPr>
              <w:t>]分，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1.6</w:t>
            </w:r>
            <w:r>
              <w:rPr>
                <w:rFonts w:hint="eastAsia" w:ascii="宋体" w:hAnsi="宋体"/>
                <w:strike w:val="0"/>
                <w:dstrike w:val="0"/>
                <w:color w:val="000000" w:themeColor="text1"/>
                <w:sz w:val="21"/>
                <w:szCs w:val="21"/>
                <w:highlight w:val="none"/>
                <w14:textFill>
                  <w14:solidFill>
                    <w14:schemeClr w14:val="tx1"/>
                  </w14:solidFill>
                </w14:textFill>
              </w:rPr>
              <w:t>-</w:t>
            </w:r>
            <w:r>
              <w:rPr>
                <w:rFonts w:hint="eastAsia" w:ascii="宋体" w:hAnsi="宋体"/>
                <w:strike w:val="0"/>
                <w:dstrike w:val="0"/>
                <w:color w:val="000000" w:themeColor="text1"/>
                <w:sz w:val="21"/>
                <w:szCs w:val="21"/>
                <w:highlight w:val="none"/>
                <w:lang w:val="en-US" w:eastAsia="zh-CN"/>
                <w14:textFill>
                  <w14:solidFill>
                    <w14:schemeClr w14:val="tx1"/>
                  </w14:solidFill>
                </w14:textFill>
              </w:rPr>
              <w:t>2.4</w:t>
            </w:r>
            <w:r>
              <w:rPr>
                <w:rFonts w:hint="eastAsia" w:ascii="宋体" w:hAnsi="宋体"/>
                <w:strike w:val="0"/>
                <w:dstrike w:val="0"/>
                <w:color w:val="000000" w:themeColor="text1"/>
                <w:sz w:val="21"/>
                <w:szCs w:val="21"/>
                <w:highlight w:val="none"/>
                <w14:textFill>
                  <w14:solidFill>
                    <w14:schemeClr w14:val="tx1"/>
                  </w14:solidFill>
                </w14:textFill>
              </w:rPr>
              <w:t>]分，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strike w:val="0"/>
                <w:dstrike w:val="0"/>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7</w:t>
            </w:r>
          </w:p>
        </w:tc>
        <w:tc>
          <w:tcPr>
            <w:tcW w:w="1536" w:type="dxa"/>
            <w:tcBorders>
              <w:top w:val="single" w:color="000000" w:sz="4" w:space="0"/>
              <w:left w:val="nil"/>
              <w:bottom w:val="single" w:color="000000" w:sz="4" w:space="0"/>
              <w:right w:val="single" w:color="000000" w:sz="4" w:space="0"/>
            </w:tcBorders>
            <w:vAlign w:val="center"/>
          </w:tcPr>
          <w:p>
            <w:pPr>
              <w:autoSpaceDE/>
              <w:autoSpaceDN/>
              <w:adjustRightInd/>
              <w:spacing w:line="288" w:lineRule="auto"/>
              <w:jc w:val="center"/>
              <w:rPr>
                <w:rFonts w:ascii="宋体" w:hAnsi="宋体"/>
                <w:snapToGrid w:val="0"/>
                <w:color w:val="000000" w:themeColor="text1"/>
                <w:sz w:val="21"/>
                <w:szCs w:val="21"/>
                <w:highlight w:val="none"/>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主要施工设备配置情况（</w:t>
            </w:r>
            <w:r>
              <w:rPr>
                <w:rFonts w:hint="eastAsia" w:ascii="宋体" w:hAnsi="宋体"/>
                <w:snapToGrid w:val="0"/>
                <w:color w:val="000000" w:themeColor="text1"/>
                <w:sz w:val="21"/>
                <w:szCs w:val="21"/>
                <w:highlight w:val="none"/>
                <w:lang w:val="en-US" w:eastAsia="zh-CN"/>
                <w14:textFill>
                  <w14:solidFill>
                    <w14:schemeClr w14:val="tx1"/>
                  </w14:solidFill>
                </w14:textFill>
              </w:rPr>
              <w:t>3</w:t>
            </w:r>
            <w:r>
              <w:rPr>
                <w:rFonts w:hint="eastAsia" w:ascii="宋体" w:hAnsi="宋体"/>
                <w:snapToGrid w:val="0"/>
                <w:color w:val="000000" w:themeColor="text1"/>
                <w:sz w:val="21"/>
                <w:szCs w:val="21"/>
                <w:highlight w:val="none"/>
                <w14:textFill>
                  <w14:solidFill>
                    <w14:schemeClr w14:val="tx1"/>
                  </w14:solidFill>
                </w14:textFill>
              </w:rPr>
              <w:t>分）</w:t>
            </w:r>
          </w:p>
        </w:tc>
        <w:tc>
          <w:tcPr>
            <w:tcW w:w="4445"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rPr>
                <w:rFonts w:ascii="宋体" w:hAnsi="宋体"/>
                <w:color w:val="000000" w:themeColor="text1"/>
                <w:sz w:val="21"/>
                <w:szCs w:val="21"/>
                <w:highlight w:val="none"/>
                <w14:textFill>
                  <w14:solidFill>
                    <w14:schemeClr w14:val="tx1"/>
                  </w14:solidFill>
                </w14:textFill>
              </w:rPr>
            </w:pPr>
            <w:r>
              <w:rPr>
                <w:rFonts w:hint="eastAsia" w:ascii="宋体" w:hAnsi="宋体"/>
                <w:snapToGrid w:val="0"/>
                <w:color w:val="000000" w:themeColor="text1"/>
                <w:sz w:val="21"/>
                <w:szCs w:val="21"/>
                <w:highlight w:val="none"/>
                <w14:textFill>
                  <w14:solidFill>
                    <w14:schemeClr w14:val="tx1"/>
                  </w14:solidFill>
                </w14:textFill>
              </w:rPr>
              <w:t>根据投标单位针对本工程</w:t>
            </w:r>
            <w:r>
              <w:rPr>
                <w:rFonts w:hint="eastAsia" w:ascii="宋体" w:hAnsi="宋体"/>
                <w:color w:val="000000" w:themeColor="text1"/>
                <w:sz w:val="21"/>
                <w:szCs w:val="21"/>
                <w:highlight w:val="none"/>
                <w14:textFill>
                  <w14:solidFill>
                    <w14:schemeClr w14:val="tx1"/>
                  </w14:solidFill>
                </w14:textFill>
              </w:rPr>
              <w:t>主要施工机械设备的选用和设备布置</w:t>
            </w:r>
            <w:r>
              <w:rPr>
                <w:rFonts w:hint="eastAsia" w:ascii="宋体" w:hAnsi="宋体"/>
                <w:snapToGrid w:val="0"/>
                <w:color w:val="000000" w:themeColor="text1"/>
                <w:sz w:val="21"/>
                <w:szCs w:val="21"/>
                <w:highlight w:val="none"/>
                <w14:textFill>
                  <w14:solidFill>
                    <w14:schemeClr w14:val="tx1"/>
                  </w14:solidFill>
                </w14:textFill>
              </w:rPr>
              <w:t>的科学、合理等情况，由评委横向比较打分</w:t>
            </w:r>
            <w:r>
              <w:rPr>
                <w:rFonts w:hint="eastAsia" w:ascii="宋体" w:hAnsi="宋体"/>
                <w:color w:val="000000" w:themeColor="text1"/>
                <w:sz w:val="21"/>
                <w:szCs w:val="21"/>
                <w:highlight w:val="none"/>
                <w14:textFill>
                  <w14:solidFill>
                    <w14:schemeClr w14:val="tx1"/>
                  </w14:solidFill>
                </w14:textFill>
              </w:rPr>
              <w:t>。总分</w:t>
            </w:r>
            <w:r>
              <w:rPr>
                <w:rFonts w:hint="eastAsia" w:ascii="宋体" w:hAnsi="宋体"/>
                <w:color w:val="000000" w:themeColor="text1"/>
                <w:sz w:val="21"/>
                <w:szCs w:val="21"/>
                <w:highlight w:val="none"/>
                <w:lang w:val="en-US" w:eastAsia="zh-CN"/>
                <w14:textFill>
                  <w14:solidFill>
                    <w14:schemeClr w14:val="tx1"/>
                  </w14:solidFill>
                </w14:textFill>
              </w:rPr>
              <w:t>3</w:t>
            </w:r>
            <w:r>
              <w:rPr>
                <w:rFonts w:hint="eastAsia" w:ascii="宋体" w:hAnsi="宋体"/>
                <w:color w:val="000000" w:themeColor="text1"/>
                <w:sz w:val="21"/>
                <w:szCs w:val="21"/>
                <w:highlight w:val="none"/>
                <w14:textFill>
                  <w14:solidFill>
                    <w14:schemeClr w14:val="tx1"/>
                  </w14:solidFill>
                </w14:textFill>
              </w:rPr>
              <w:t>分，由专家综合评审打分。未提供的不得分。</w:t>
            </w:r>
          </w:p>
        </w:tc>
        <w:tc>
          <w:tcPr>
            <w:tcW w:w="2295"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优</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2.7-3.0]分，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良</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1.8-2.7]分，</w:t>
            </w:r>
          </w:p>
          <w:p>
            <w:pPr>
              <w:autoSpaceDE/>
              <w:autoSpaceDN/>
              <w:adjustRightInd/>
              <w:spacing w:line="288" w:lineRule="auto"/>
              <w:jc w:val="center"/>
              <w:rPr>
                <w:rFonts w:ascii="宋体" w:hAnsi="宋体"/>
                <w:strike w:val="0"/>
                <w:dstrike w:val="0"/>
                <w:color w:val="000000" w:themeColor="text1"/>
                <w:sz w:val="21"/>
                <w:szCs w:val="21"/>
                <w:highlight w:val="none"/>
                <w14:textFill>
                  <w14:solidFill>
                    <w14:schemeClr w14:val="tx1"/>
                  </w14:solidFill>
                </w14:textFill>
              </w:rPr>
            </w:pPr>
            <w:r>
              <w:rPr>
                <w:rFonts w:hint="eastAsia" w:ascii="宋体" w:hAnsi="宋体"/>
                <w:strike w:val="0"/>
                <w:dstrike w:val="0"/>
                <w:color w:val="000000" w:themeColor="text1"/>
                <w:sz w:val="21"/>
                <w:szCs w:val="21"/>
                <w:highlight w:val="none"/>
                <w14:textFill>
                  <w14:solidFill>
                    <w14:schemeClr w14:val="tx1"/>
                  </w14:solidFill>
                </w14:textFill>
              </w:rPr>
              <w:t>一般</w:t>
            </w:r>
            <w:r>
              <w:rPr>
                <w:rFonts w:hint="eastAsia" w:ascii="宋体" w:hAnsi="宋体"/>
                <w:strike w:val="0"/>
                <w:dstrike w:val="0"/>
                <w:color w:val="000000" w:themeColor="text1"/>
                <w:sz w:val="21"/>
                <w:szCs w:val="21"/>
                <w:highlight w:val="none"/>
                <w:lang w:eastAsia="zh-CN"/>
                <w14:textFill>
                  <w14:solidFill>
                    <w14:schemeClr w14:val="tx1"/>
                  </w14:solidFill>
                </w14:textFill>
              </w:rPr>
              <w:t>（</w:t>
            </w:r>
            <w:r>
              <w:rPr>
                <w:rFonts w:hint="eastAsia" w:ascii="宋体" w:hAnsi="宋体"/>
                <w:strike w:val="0"/>
                <w:dstrike w:val="0"/>
                <w:color w:val="000000" w:themeColor="text1"/>
                <w:sz w:val="21"/>
                <w:szCs w:val="21"/>
                <w:highlight w:val="none"/>
                <w14:textFill>
                  <w14:solidFill>
                    <w14:schemeClr w14:val="tx1"/>
                  </w14:solidFill>
                </w14:textFill>
              </w:rPr>
              <w:t>1.2-1.8]分，</w:t>
            </w:r>
          </w:p>
          <w:p>
            <w:pPr>
              <w:autoSpaceDE/>
              <w:autoSpaceDN/>
              <w:adjustRightInd/>
              <w:spacing w:line="288" w:lineRule="auto"/>
              <w:jc w:val="center"/>
              <w:rPr>
                <w:rFonts w:ascii="宋体" w:hAnsi="宋体"/>
                <w:color w:val="000000" w:themeColor="text1"/>
                <w:sz w:val="21"/>
                <w:szCs w:val="21"/>
                <w:highlight w:val="none"/>
                <w14:textFill>
                  <w14:solidFill>
                    <w14:schemeClr w14:val="tx1"/>
                  </w14:solidFill>
                </w14:textFill>
              </w:rPr>
            </w:pPr>
            <w:r>
              <w:rPr>
                <w:rFonts w:hint="eastAsia"/>
                <w:strike w:val="0"/>
                <w:dstrike w:val="0"/>
                <w:color w:val="000000" w:themeColor="text1"/>
                <w:sz w:val="21"/>
                <w:szCs w:val="21"/>
                <w:highlight w:val="none"/>
                <w14:textFill>
                  <w14:solidFill>
                    <w14:schemeClr w14:val="tx1"/>
                  </w14:solidFill>
                </w14:textFill>
              </w:rPr>
              <w:t>未提供0分。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autoSpaceDE/>
              <w:autoSpaceDN/>
              <w:adjustRightInd/>
              <w:spacing w:line="288" w:lineRule="auto"/>
              <w:jc w:val="center"/>
              <w:rPr>
                <w:rFonts w:hint="eastAsia" w:ascii="宋体" w:hAnsi="宋体" w:eastAsia="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8</w:t>
            </w:r>
          </w:p>
        </w:tc>
        <w:tc>
          <w:tcPr>
            <w:tcW w:w="1536" w:type="dxa"/>
            <w:tcBorders>
              <w:top w:val="single" w:color="000000" w:sz="4" w:space="0"/>
              <w:left w:val="nil"/>
              <w:bottom w:val="single" w:color="000000" w:sz="4" w:space="0"/>
              <w:right w:val="single" w:color="000000" w:sz="4" w:space="0"/>
            </w:tcBorders>
            <w:vAlign w:val="center"/>
          </w:tcPr>
          <w:p>
            <w:pPr>
              <w:spacing w:line="340" w:lineRule="exact"/>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项目负责人到场答辩</w:t>
            </w:r>
          </w:p>
          <w:p>
            <w:pPr>
              <w:spacing w:line="340" w:lineRule="exact"/>
              <w:jc w:val="center"/>
              <w:rPr>
                <w:rFonts w:hint="eastAsia" w:ascii="宋体" w:hAnsi="宋体"/>
                <w:snapToGrid w:val="0"/>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（3分）</w:t>
            </w:r>
          </w:p>
        </w:tc>
        <w:tc>
          <w:tcPr>
            <w:tcW w:w="4445" w:type="dxa"/>
            <w:tcBorders>
              <w:top w:val="single" w:color="000000" w:sz="4" w:space="0"/>
              <w:left w:val="nil"/>
              <w:bottom w:val="single" w:color="000000" w:sz="4" w:space="0"/>
              <w:right w:val="single" w:color="auto" w:sz="4" w:space="0"/>
            </w:tcBorders>
            <w:vAlign w:val="center"/>
          </w:tcPr>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陈述和答辩问题由评标委员会根据本项目的重难点现场拟定一到两题。总分3分，由专家综合评审，横向打分。</w:t>
            </w:r>
          </w:p>
          <w:p>
            <w:pPr>
              <w:spacing w:line="340" w:lineRule="exact"/>
              <w:jc w:val="both"/>
              <w:rPr>
                <w:rFonts w:hint="eastAsia" w:ascii="宋体" w:hAnsi="宋体"/>
                <w:snapToGrid w:val="0"/>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注：每家企业的答辩时间一般不超过5分钟，请各项目负责人合理安排答辩时间。</w:t>
            </w:r>
          </w:p>
        </w:tc>
        <w:tc>
          <w:tcPr>
            <w:tcW w:w="2295" w:type="dxa"/>
            <w:tcBorders>
              <w:top w:val="single" w:color="000000" w:sz="4" w:space="0"/>
              <w:left w:val="single" w:color="auto" w:sz="4" w:space="0"/>
              <w:bottom w:val="single" w:color="000000" w:sz="4" w:space="0"/>
              <w:right w:val="single" w:color="000000" w:sz="4" w:space="0"/>
            </w:tcBorders>
            <w:vAlign w:val="center"/>
          </w:tcPr>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优秀（2.7-3.0</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分</w:t>
            </w:r>
          </w:p>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良好（1.8-2.7</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分</w:t>
            </w:r>
          </w:p>
          <w:p>
            <w:pPr>
              <w:spacing w:line="340" w:lineRule="exact"/>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一般（1.2-1.8</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分</w:t>
            </w:r>
          </w:p>
          <w:p>
            <w:pPr>
              <w:spacing w:line="340" w:lineRule="exact"/>
              <w:jc w:val="center"/>
              <w:rPr>
                <w:rFonts w:hint="eastAsia"/>
                <w:strike w:val="0"/>
                <w:dstrike w:val="0"/>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968" w:type="dxa"/>
            <w:gridSpan w:val="4"/>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注：上限值包含本数，下限值不包含本数。</w:t>
            </w:r>
          </w:p>
        </w:tc>
      </w:tr>
    </w:tbl>
    <w:p>
      <w:pPr>
        <w:autoSpaceDE/>
        <w:adjustRightInd/>
        <w:spacing w:line="400" w:lineRule="exact"/>
        <w:rPr>
          <w:rFonts w:hint="eastAsia" w:ascii="宋体" w:hAnsi="宋体"/>
          <w:b/>
          <w:bCs/>
          <w:color w:val="auto"/>
          <w:sz w:val="21"/>
          <w:szCs w:val="21"/>
          <w:highlight w:val="none"/>
        </w:rPr>
      </w:pPr>
      <w:r>
        <w:rPr>
          <w:rFonts w:hint="eastAsia" w:ascii="宋体" w:hAnsi="宋体"/>
          <w:b/>
          <w:bCs/>
          <w:color w:val="auto"/>
          <w:sz w:val="21"/>
          <w:szCs w:val="21"/>
          <w:highlight w:val="none"/>
        </w:rPr>
        <w:t>备注：（1）如投标文件中没有提供相对应的评审内容，则评标委员会对该缺项内容按零分计取。评分汇总时，投标人的技术得分值为全体评标委员会成员的评分中去除最高分和最低分后的平均值（评标委员会成员打分保留一位小数，结果四舍五入保留两位小数）。</w:t>
      </w:r>
    </w:p>
    <w:p>
      <w:pPr>
        <w:autoSpaceDE/>
        <w:adjustRightInd/>
        <w:spacing w:line="400" w:lineRule="exact"/>
        <w:ind w:firstLine="632" w:firstLineChars="300"/>
        <w:rPr>
          <w:rFonts w:ascii="宋体" w:hAnsi="宋体"/>
          <w:color w:val="auto"/>
          <w:sz w:val="21"/>
          <w:szCs w:val="21"/>
          <w:highlight w:val="none"/>
        </w:rPr>
      </w:pPr>
      <w:r>
        <w:rPr>
          <w:rFonts w:hint="eastAsia" w:ascii="宋体" w:hAnsi="宋体"/>
          <w:b/>
          <w:bCs/>
          <w:color w:val="auto"/>
          <w:sz w:val="21"/>
          <w:szCs w:val="21"/>
          <w:highlight w:val="none"/>
        </w:rPr>
        <w:t>（</w:t>
      </w:r>
      <w:r>
        <w:rPr>
          <w:rFonts w:ascii="宋体" w:hAnsi="宋体"/>
          <w:b/>
          <w:bCs/>
          <w:color w:val="auto"/>
          <w:sz w:val="21"/>
          <w:szCs w:val="21"/>
          <w:highlight w:val="none"/>
        </w:rPr>
        <w:t>2</w:t>
      </w:r>
      <w:r>
        <w:rPr>
          <w:rFonts w:hint="eastAsia" w:ascii="宋体" w:hAnsi="宋体"/>
          <w:b/>
          <w:bCs/>
          <w:color w:val="auto"/>
          <w:sz w:val="21"/>
          <w:szCs w:val="21"/>
          <w:highlight w:val="none"/>
        </w:rPr>
        <w:t>）证明材料中的施工单位名称发生合法变更的，还需提供合法变更的有效文件。</w:t>
      </w:r>
    </w:p>
    <w:p>
      <w:pPr>
        <w:pStyle w:val="22"/>
        <w:numPr>
          <w:ilvl w:val="0"/>
          <w:numId w:val="0"/>
        </w:numPr>
        <w:snapToGrid w:val="0"/>
        <w:ind w:leftChars="200"/>
        <w:rPr>
          <w:rFonts w:ascii="宋体" w:hAnsi="宋体"/>
          <w:b/>
          <w:color w:val="auto"/>
          <w:sz w:val="21"/>
          <w:szCs w:val="21"/>
          <w:highlight w:val="none"/>
        </w:rPr>
      </w:pPr>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三</w:t>
      </w:r>
      <w:r>
        <w:rPr>
          <w:rFonts w:hint="eastAsia" w:ascii="宋体" w:hAnsi="宋体"/>
          <w:b/>
          <w:color w:val="auto"/>
          <w:sz w:val="21"/>
          <w:szCs w:val="21"/>
          <w:highlight w:val="none"/>
          <w:lang w:eastAsia="zh-CN"/>
        </w:rPr>
        <w:t>）</w:t>
      </w:r>
      <w:r>
        <w:rPr>
          <w:rFonts w:hint="eastAsia" w:ascii="宋体" w:hAnsi="宋体"/>
          <w:b/>
          <w:color w:val="auto"/>
          <w:sz w:val="21"/>
          <w:szCs w:val="21"/>
          <w:highlight w:val="none"/>
        </w:rPr>
        <w:t>初步评审</w:t>
      </w:r>
    </w:p>
    <w:p>
      <w:pPr>
        <w:snapToGrid w:val="0"/>
        <w:ind w:firstLine="420" w:firstLineChars="200"/>
        <w:rPr>
          <w:rFonts w:ascii="宋体" w:hAnsi="宋体"/>
          <w:color w:val="auto"/>
          <w:sz w:val="21"/>
          <w:szCs w:val="21"/>
          <w:highlight w:val="none"/>
        </w:rPr>
      </w:pPr>
      <w:r>
        <w:rPr>
          <w:rFonts w:hint="eastAsia" w:ascii="宋体" w:hAnsi="宋体"/>
          <w:color w:val="auto"/>
          <w:sz w:val="21"/>
          <w:szCs w:val="21"/>
          <w:highlight w:val="none"/>
        </w:rPr>
        <w:t>评标委员会对通过技术标评审和资格审查的投标文件进行初步评审，投标人存在投标须知前附表</w:t>
      </w:r>
      <w:r>
        <w:rPr>
          <w:rFonts w:hint="eastAsia"/>
          <w:color w:val="auto"/>
          <w:sz w:val="21"/>
          <w:szCs w:val="21"/>
          <w:highlight w:val="none"/>
        </w:rPr>
        <w:t>10.5</w:t>
      </w:r>
      <w:r>
        <w:rPr>
          <w:rFonts w:hint="eastAsia" w:ascii="宋体" w:hAnsi="宋体"/>
          <w:color w:val="auto"/>
          <w:sz w:val="21"/>
          <w:szCs w:val="21"/>
          <w:highlight w:val="none"/>
        </w:rPr>
        <w:t>情形之一的，评标委员会组织投标人询问核实后，情况属实的，初步评审不予通过，否决其投标。</w:t>
      </w:r>
    </w:p>
    <w:p>
      <w:pPr>
        <w:pStyle w:val="22"/>
        <w:numPr>
          <w:ilvl w:val="0"/>
          <w:numId w:val="0"/>
        </w:numPr>
        <w:snapToGrid w:val="0"/>
        <w:ind w:leftChars="200"/>
        <w:rPr>
          <w:rFonts w:ascii="宋体" w:hAnsi="宋体"/>
          <w:b/>
          <w:color w:val="auto"/>
          <w:sz w:val="21"/>
          <w:szCs w:val="21"/>
          <w:highlight w:val="none"/>
        </w:rPr>
      </w:pPr>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四</w:t>
      </w:r>
      <w:r>
        <w:rPr>
          <w:rFonts w:hint="eastAsia" w:ascii="宋体" w:hAnsi="宋体"/>
          <w:b/>
          <w:color w:val="auto"/>
          <w:sz w:val="21"/>
          <w:szCs w:val="21"/>
          <w:highlight w:val="none"/>
          <w:lang w:eastAsia="zh-CN"/>
        </w:rPr>
        <w:t>）</w:t>
      </w:r>
      <w:r>
        <w:rPr>
          <w:rFonts w:hint="eastAsia" w:ascii="宋体" w:hAnsi="宋体"/>
          <w:b/>
          <w:color w:val="auto"/>
          <w:sz w:val="21"/>
          <w:szCs w:val="21"/>
          <w:highlight w:val="none"/>
        </w:rPr>
        <w:t>资信标评审（10分）</w:t>
      </w:r>
    </w:p>
    <w:p>
      <w:pPr>
        <w:widowControl/>
        <w:autoSpaceDN/>
        <w:snapToGrid w:val="0"/>
        <w:spacing w:line="3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资信分可根据投标单位的企业综合实力、类似工程业绩、建设主管部门的信用评价体系、项目负责人及项目班子人员能力等因素进行设置。建设主管部门的信用评价体系分值为 5 分（专业工程施工项目不设本评分项），其他每个单项的具体内容和分值由招标人自行确定。具体评审办法为：</w:t>
      </w:r>
    </w:p>
    <w:p>
      <w:pPr>
        <w:pStyle w:val="31"/>
        <w:spacing w:line="240" w:lineRule="auto"/>
        <w:ind w:firstLine="422" w:firstLineChars="200"/>
        <w:rPr>
          <w:rFonts w:ascii="宋体" w:hAnsi="宋体"/>
          <w:color w:val="auto"/>
          <w:kern w:val="0"/>
          <w:sz w:val="21"/>
          <w:szCs w:val="21"/>
          <w:highlight w:val="none"/>
        </w:rPr>
      </w:pPr>
      <w:r>
        <w:rPr>
          <w:rFonts w:hint="eastAsia" w:ascii="宋体" w:hAnsi="宋体" w:cs="宋体"/>
          <w:b/>
          <w:bCs/>
          <w:color w:val="auto"/>
          <w:kern w:val="0"/>
          <w:highlight w:val="none"/>
        </w:rPr>
        <w:t>1、资信分（5分）</w:t>
      </w: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887"/>
        <w:gridCol w:w="6496"/>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tcBorders>
              <w:top w:val="single" w:color="000000" w:sz="4" w:space="0"/>
              <w:left w:val="single" w:color="000000" w:sz="4" w:space="0"/>
              <w:bottom w:val="single" w:color="000000" w:sz="4" w:space="0"/>
              <w:right w:val="single" w:color="000000" w:sz="4" w:space="0"/>
            </w:tcBorders>
            <w:vAlign w:val="center"/>
          </w:tcPr>
          <w:p>
            <w:pPr>
              <w:autoSpaceDE/>
              <w:autoSpaceDN/>
              <w:adjustRightInd/>
              <w:spacing w:line="288" w:lineRule="auto"/>
              <w:jc w:val="center"/>
              <w:rPr>
                <w:b/>
                <w:bCs/>
                <w:color w:val="auto"/>
                <w:sz w:val="21"/>
                <w:szCs w:val="21"/>
                <w:highlight w:val="none"/>
              </w:rPr>
            </w:pPr>
            <w:r>
              <w:rPr>
                <w:rFonts w:hint="eastAsia" w:ascii="宋体" w:hAnsi="宋体"/>
                <w:b/>
                <w:bCs/>
                <w:color w:val="000000" w:themeColor="text1"/>
                <w:sz w:val="21"/>
                <w:szCs w:val="21"/>
                <w:highlight w:val="none"/>
                <w14:textFill>
                  <w14:solidFill>
                    <w14:schemeClr w14:val="tx1"/>
                  </w14:solidFill>
                </w14:textFill>
              </w:rPr>
              <w:t>序号</w:t>
            </w:r>
          </w:p>
        </w:tc>
        <w:tc>
          <w:tcPr>
            <w:tcW w:w="887" w:type="dxa"/>
            <w:tcBorders>
              <w:top w:val="single" w:color="000000" w:sz="4" w:space="0"/>
              <w:left w:val="nil"/>
              <w:bottom w:val="single" w:color="000000" w:sz="4" w:space="0"/>
              <w:right w:val="single" w:color="000000" w:sz="4" w:space="0"/>
            </w:tcBorders>
            <w:vAlign w:val="center"/>
          </w:tcPr>
          <w:p>
            <w:pPr>
              <w:autoSpaceDE/>
              <w:autoSpaceDN/>
              <w:adjustRightInd/>
              <w:spacing w:line="288" w:lineRule="auto"/>
              <w:jc w:val="center"/>
              <w:rPr>
                <w:b/>
                <w:bCs/>
                <w:color w:val="auto"/>
                <w:sz w:val="21"/>
                <w:szCs w:val="21"/>
                <w:highlight w:val="none"/>
              </w:rPr>
            </w:pPr>
            <w:r>
              <w:rPr>
                <w:rFonts w:hint="eastAsia" w:ascii="宋体" w:hAnsi="宋体"/>
                <w:b/>
                <w:bCs/>
                <w:color w:val="000000" w:themeColor="text1"/>
                <w:sz w:val="21"/>
                <w:szCs w:val="21"/>
                <w:highlight w:val="none"/>
                <w14:textFill>
                  <w14:solidFill>
                    <w14:schemeClr w14:val="tx1"/>
                  </w14:solidFill>
                </w14:textFill>
              </w:rPr>
              <w:t>评审因素</w:t>
            </w:r>
          </w:p>
        </w:tc>
        <w:tc>
          <w:tcPr>
            <w:tcW w:w="6496" w:type="dxa"/>
            <w:tcBorders>
              <w:top w:val="single" w:color="000000" w:sz="4" w:space="0"/>
              <w:left w:val="nil"/>
              <w:bottom w:val="single" w:color="000000" w:sz="4" w:space="0"/>
              <w:right w:val="single" w:color="auto" w:sz="4" w:space="0"/>
            </w:tcBorders>
            <w:vAlign w:val="center"/>
          </w:tcPr>
          <w:p>
            <w:pPr>
              <w:autoSpaceDE/>
              <w:autoSpaceDN/>
              <w:adjustRightInd/>
              <w:spacing w:line="288" w:lineRule="auto"/>
              <w:jc w:val="center"/>
              <w:rPr>
                <w:b/>
                <w:bCs/>
                <w:color w:val="auto"/>
                <w:sz w:val="21"/>
                <w:szCs w:val="21"/>
                <w:highlight w:val="none"/>
              </w:rPr>
            </w:pPr>
            <w:r>
              <w:rPr>
                <w:rFonts w:hint="eastAsia" w:ascii="宋体" w:hAnsi="宋体"/>
                <w:b/>
                <w:bCs/>
                <w:color w:val="000000" w:themeColor="text1"/>
                <w:sz w:val="21"/>
                <w:szCs w:val="21"/>
                <w:highlight w:val="none"/>
                <w14:textFill>
                  <w14:solidFill>
                    <w14:schemeClr w14:val="tx1"/>
                  </w14:solidFill>
                </w14:textFill>
              </w:rPr>
              <w:t>评审内容</w:t>
            </w:r>
          </w:p>
        </w:tc>
        <w:tc>
          <w:tcPr>
            <w:tcW w:w="712"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b/>
                <w:bCs/>
                <w:color w:val="auto"/>
                <w:sz w:val="21"/>
                <w:szCs w:val="21"/>
                <w:highlight w:val="none"/>
              </w:rPr>
            </w:pPr>
            <w:r>
              <w:rPr>
                <w:rFonts w:hint="eastAsia" w:ascii="宋体" w:hAnsi="宋体"/>
                <w:b/>
                <w:bCs/>
                <w:color w:val="000000" w:themeColor="text1"/>
                <w:sz w:val="21"/>
                <w:szCs w:val="21"/>
                <w:highlight w:val="none"/>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b/>
                <w:bCs/>
                <w:color w:val="000000" w:themeColor="text1"/>
                <w:sz w:val="21"/>
                <w:szCs w:val="21"/>
                <w:highlight w:val="none"/>
                <w14:textFill>
                  <w14:solidFill>
                    <w14:schemeClr w14:val="tx1"/>
                  </w14:solidFill>
                </w14:textFill>
              </w:rPr>
              <w:t>1</w:t>
            </w:r>
          </w:p>
        </w:tc>
        <w:tc>
          <w:tcPr>
            <w:tcW w:w="887" w:type="dxa"/>
            <w:tcBorders>
              <w:top w:val="single" w:color="000000" w:sz="4" w:space="0"/>
              <w:left w:val="nil"/>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cs="宋体"/>
                <w:color w:val="000000" w:themeColor="text1"/>
                <w:sz w:val="21"/>
                <w:szCs w:val="21"/>
                <w:highlight w:val="none"/>
                <w14:textFill>
                  <w14:solidFill>
                    <w14:schemeClr w14:val="tx1"/>
                  </w14:solidFill>
                </w14:textFill>
              </w:rPr>
              <w:t>投标人业绩</w:t>
            </w:r>
          </w:p>
        </w:tc>
        <w:tc>
          <w:tcPr>
            <w:tcW w:w="6496" w:type="dxa"/>
            <w:tcBorders>
              <w:top w:val="single" w:color="000000" w:sz="4" w:space="0"/>
              <w:left w:val="nil"/>
              <w:bottom w:val="single" w:color="000000" w:sz="4" w:space="0"/>
              <w:right w:val="single" w:color="auto" w:sz="4" w:space="0"/>
            </w:tcBorders>
            <w:vAlign w:val="center"/>
          </w:tcPr>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360" w:lineRule="exact"/>
              <w:ind w:left="0"/>
              <w:jc w:val="both"/>
              <w:textAlignment w:val="auto"/>
              <w:rPr>
                <w:rFonts w:hint="eastAsia"/>
                <w:highlight w:val="none"/>
                <w:lang w:val="en-US" w:eastAsia="zh-CN"/>
              </w:rPr>
            </w:pPr>
            <w:r>
              <w:rPr>
                <w:rFonts w:hint="eastAsia" w:ascii="Times New Roman" w:hAnsi="Times New Roman" w:eastAsia="宋体" w:cs="Times New Roman"/>
                <w:color w:val="auto"/>
                <w:sz w:val="21"/>
                <w:szCs w:val="21"/>
                <w:highlight w:val="none"/>
                <w:lang w:val="en-US" w:eastAsia="zh-CN" w:bidi="ar-SA"/>
              </w:rPr>
              <w:t>投标人自20</w:t>
            </w:r>
            <w:r>
              <w:rPr>
                <w:rFonts w:hint="eastAsia" w:cs="Times New Roman"/>
                <w:color w:val="auto"/>
                <w:sz w:val="21"/>
                <w:szCs w:val="21"/>
                <w:highlight w:val="none"/>
                <w:lang w:val="en-US" w:eastAsia="zh-CN" w:bidi="ar-SA"/>
              </w:rPr>
              <w:t>19</w:t>
            </w:r>
            <w:r>
              <w:rPr>
                <w:rFonts w:hint="eastAsia" w:ascii="Times New Roman" w:hAnsi="Times New Roman" w:eastAsia="宋体" w:cs="Times New Roman"/>
                <w:color w:val="auto"/>
                <w:sz w:val="21"/>
                <w:szCs w:val="21"/>
                <w:highlight w:val="none"/>
                <w:lang w:val="en-US" w:eastAsia="zh-CN" w:bidi="ar-SA"/>
              </w:rPr>
              <w:t>年1月1日（以项目竣工验收时间为准）以来，完成过单个合同总建筑面积</w:t>
            </w:r>
            <w:r>
              <w:rPr>
                <w:rFonts w:hint="eastAsia" w:cs="Times New Roman"/>
                <w:color w:val="auto"/>
                <w:sz w:val="21"/>
                <w:szCs w:val="21"/>
                <w:highlight w:val="none"/>
                <w:lang w:val="en-US" w:eastAsia="zh-CN" w:bidi="ar-SA"/>
              </w:rPr>
              <w:t>5</w:t>
            </w:r>
            <w:r>
              <w:rPr>
                <w:rFonts w:hint="eastAsia" w:ascii="Times New Roman" w:hAnsi="Times New Roman" w:eastAsia="宋体" w:cs="Times New Roman"/>
                <w:color w:val="auto"/>
                <w:sz w:val="21"/>
                <w:szCs w:val="21"/>
                <w:highlight w:val="none"/>
                <w:lang w:val="en-US" w:eastAsia="zh-CN" w:bidi="ar-SA"/>
              </w:rPr>
              <w:t>万平方米以上（含）且</w:t>
            </w:r>
            <w:r>
              <w:rPr>
                <w:rFonts w:hint="eastAsia" w:cs="Times New Roman"/>
                <w:color w:val="auto"/>
                <w:sz w:val="21"/>
                <w:szCs w:val="21"/>
                <w:highlight w:val="none"/>
                <w:lang w:val="en-US" w:eastAsia="zh-CN" w:bidi="ar-SA"/>
              </w:rPr>
              <w:t>8</w:t>
            </w:r>
            <w:r>
              <w:rPr>
                <w:rFonts w:hint="eastAsia" w:ascii="Times New Roman" w:hAnsi="Times New Roman" w:eastAsia="宋体" w:cs="Times New Roman"/>
                <w:color w:val="auto"/>
                <w:sz w:val="21"/>
                <w:szCs w:val="21"/>
                <w:highlight w:val="none"/>
                <w:lang w:val="en-US" w:eastAsia="zh-CN" w:bidi="ar-SA"/>
              </w:rPr>
              <w:t>万平方米以下（不含）的PC装配式民用建筑的施工总承包或工程总承包业绩的，得0.5分，完成过单个合同总建筑面积</w:t>
            </w:r>
            <w:r>
              <w:rPr>
                <w:rFonts w:hint="eastAsia" w:cs="Times New Roman"/>
                <w:color w:val="auto"/>
                <w:sz w:val="21"/>
                <w:szCs w:val="21"/>
                <w:highlight w:val="none"/>
                <w:lang w:val="en-US" w:eastAsia="zh-CN" w:bidi="ar-SA"/>
              </w:rPr>
              <w:t>8</w:t>
            </w:r>
            <w:r>
              <w:rPr>
                <w:rFonts w:hint="eastAsia" w:ascii="Times New Roman" w:hAnsi="Times New Roman" w:eastAsia="宋体" w:cs="Times New Roman"/>
                <w:color w:val="auto"/>
                <w:sz w:val="21"/>
                <w:szCs w:val="21"/>
                <w:highlight w:val="none"/>
                <w:lang w:val="en-US" w:eastAsia="zh-CN" w:bidi="ar-SA"/>
              </w:rPr>
              <w:t>万平方米及以上（含）的PC装配式民用建筑的施工总承包或工程总承包业绩的，得1分最多得1分。本项最多计取1个业绩。</w:t>
            </w:r>
            <w:r>
              <w:rPr>
                <w:rFonts w:hint="eastAsia" w:cs="Times New Roman"/>
                <w:b w:val="0"/>
                <w:bCs w:val="0"/>
                <w:color w:val="auto"/>
                <w:sz w:val="21"/>
                <w:szCs w:val="21"/>
                <w:highlight w:val="none"/>
                <w:lang w:val="en-US" w:eastAsia="zh-CN" w:bidi="ar-SA"/>
              </w:rPr>
              <w:t>（</w:t>
            </w:r>
            <w:r>
              <w:rPr>
                <w:rFonts w:hint="eastAsia" w:ascii="宋体" w:hAnsi="宋体"/>
                <w:b w:val="0"/>
                <w:bCs w:val="0"/>
                <w:color w:val="auto"/>
                <w:sz w:val="21"/>
                <w:szCs w:val="21"/>
                <w:highlight w:val="none"/>
              </w:rPr>
              <w:t>投标人资格要求</w:t>
            </w:r>
            <w:r>
              <w:rPr>
                <w:rFonts w:hint="eastAsia" w:cs="Times New Roman"/>
                <w:b w:val="0"/>
                <w:bCs w:val="0"/>
                <w:color w:val="auto"/>
                <w:sz w:val="21"/>
                <w:szCs w:val="21"/>
                <w:highlight w:val="none"/>
                <w:lang w:val="en-US" w:eastAsia="zh-CN" w:bidi="ar-SA"/>
              </w:rPr>
              <w:t>业绩不能作为得分项）。</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ascii="宋体" w:hAnsi="宋体" w:cs="宋体"/>
                <w:b/>
                <w:bCs/>
                <w:color w:val="auto"/>
                <w:sz w:val="21"/>
                <w:szCs w:val="21"/>
                <w:highlight w:val="none"/>
                <w:u w:val="single"/>
                <w:lang w:bidi="ar"/>
              </w:rPr>
            </w:pPr>
            <w:r>
              <w:rPr>
                <w:rFonts w:hint="eastAsia" w:ascii="宋体" w:hAnsi="宋体" w:cs="宋体"/>
                <w:b/>
                <w:bCs/>
                <w:color w:val="auto"/>
                <w:sz w:val="21"/>
                <w:szCs w:val="21"/>
                <w:highlight w:val="none"/>
                <w:u w:val="single"/>
                <w:lang w:bidi="ar"/>
              </w:rPr>
              <w:t>民用建筑：根据《民用建筑设计统一标准》GB 50352-2019定义，民用建筑是指供人们居住和进行公共活动的建筑的总称。民用建筑按使用功能可分为居住建筑和公共建筑两大类。</w:t>
            </w:r>
          </w:p>
          <w:p>
            <w:pPr>
              <w:keepNext w:val="0"/>
              <w:keepLines w:val="0"/>
              <w:pageBreakBefore w:val="0"/>
              <w:wordWrap/>
              <w:overflowPunct/>
              <w:topLinePunct w:val="0"/>
              <w:autoSpaceDE w:val="0"/>
              <w:autoSpaceDN w:val="0"/>
              <w:bidi w:val="0"/>
              <w:adjustRightInd w:val="0"/>
              <w:spacing w:line="360" w:lineRule="exact"/>
              <w:jc w:val="both"/>
              <w:textAlignment w:val="auto"/>
              <w:rPr>
                <w:rFonts w:hint="default" w:ascii="宋体" w:hAnsi="宋体" w:cs="宋体"/>
                <w:b/>
                <w:bCs/>
                <w:color w:val="auto"/>
                <w:sz w:val="21"/>
                <w:szCs w:val="21"/>
                <w:highlight w:val="none"/>
                <w:u w:val="single"/>
                <w:lang w:val="en-US" w:eastAsia="zh-CN" w:bidi="ar"/>
              </w:rPr>
            </w:pPr>
            <w:r>
              <w:rPr>
                <w:rFonts w:hint="eastAsia" w:ascii="宋体" w:hAnsi="宋体" w:cs="宋体"/>
                <w:b/>
                <w:bCs/>
                <w:color w:val="auto"/>
                <w:sz w:val="21"/>
                <w:szCs w:val="21"/>
                <w:highlight w:val="none"/>
                <w:u w:val="single"/>
                <w:lang w:eastAsia="zh-CN" w:bidi="ar"/>
              </w:rPr>
              <w:t>“装配式建筑”定义以《装配式建筑评价标准》（具体参照省、直辖市住建部门颁发的标准执行，例如：</w:t>
            </w:r>
            <w:r>
              <w:rPr>
                <w:rFonts w:hint="eastAsia" w:ascii="宋体" w:hAnsi="宋体" w:cs="宋体"/>
                <w:b/>
                <w:bCs/>
                <w:color w:val="auto"/>
                <w:sz w:val="21"/>
                <w:szCs w:val="21"/>
                <w:highlight w:val="none"/>
                <w:u w:val="single"/>
                <w:lang w:val="en-US" w:eastAsia="zh-CN" w:bidi="ar"/>
              </w:rPr>
              <w:t>DB33/T1165-2019</w:t>
            </w:r>
            <w:r>
              <w:rPr>
                <w:rFonts w:hint="eastAsia" w:ascii="宋体" w:hAnsi="宋体" w:cs="宋体"/>
                <w:b/>
                <w:bCs/>
                <w:color w:val="auto"/>
                <w:sz w:val="21"/>
                <w:szCs w:val="21"/>
                <w:highlight w:val="none"/>
                <w:u w:val="single"/>
                <w:lang w:eastAsia="zh-CN" w:bidi="ar"/>
              </w:rPr>
              <w:t>）的定义为准，由预制部品部件在工地装配而成的建筑称为装配式建筑。</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color w:val="auto"/>
                <w:sz w:val="21"/>
                <w:szCs w:val="21"/>
                <w:highlight w:val="none"/>
              </w:rPr>
            </w:pPr>
            <w:r>
              <w:rPr>
                <w:rFonts w:hint="eastAsia"/>
                <w:color w:val="auto"/>
                <w:sz w:val="21"/>
                <w:szCs w:val="21"/>
                <w:highlight w:val="none"/>
              </w:rPr>
              <w:t>①业绩证明资料：施工合同、施工许可证、竣工验收资料（竣工验收证书或竣工验收报告或竣工验收备案表）备注：</w:t>
            </w:r>
            <w:r>
              <w:rPr>
                <w:rFonts w:hint="eastAsia"/>
                <w:color w:val="auto"/>
                <w:sz w:val="21"/>
                <w:szCs w:val="21"/>
                <w:highlight w:val="none"/>
                <w:lang w:eastAsia="zh-CN"/>
              </w:rPr>
              <w:t>单位工程质量竣工验收记录</w:t>
            </w:r>
            <w:r>
              <w:rPr>
                <w:rFonts w:hint="eastAsia"/>
                <w:color w:val="auto"/>
                <w:sz w:val="21"/>
                <w:szCs w:val="21"/>
                <w:highlight w:val="none"/>
              </w:rPr>
              <w:t>不予认可。上述业绩证明资料缺一不可。②工程业绩时间以</w:t>
            </w:r>
            <w:r>
              <w:rPr>
                <w:rFonts w:hint="eastAsia"/>
                <w:color w:val="auto"/>
                <w:sz w:val="21"/>
                <w:szCs w:val="21"/>
                <w:highlight w:val="none"/>
                <w:lang w:val="en-US" w:eastAsia="zh-CN"/>
              </w:rPr>
              <w:t>竣工验收</w:t>
            </w:r>
            <w:r>
              <w:rPr>
                <w:rFonts w:hint="eastAsia"/>
                <w:color w:val="auto"/>
                <w:sz w:val="21"/>
                <w:szCs w:val="21"/>
                <w:highlight w:val="none"/>
              </w:rPr>
              <w:t>时间为准。</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color w:val="auto"/>
                <w:sz w:val="21"/>
                <w:szCs w:val="21"/>
                <w:highlight w:val="none"/>
              </w:rPr>
            </w:pPr>
            <w:r>
              <w:rPr>
                <w:rFonts w:hint="eastAsia"/>
                <w:color w:val="auto"/>
                <w:sz w:val="21"/>
                <w:szCs w:val="21"/>
                <w:highlight w:val="none"/>
              </w:rPr>
              <w:t>③建筑面积包括地上和地下建筑面积，以施工许可证所注为准。</w:t>
            </w:r>
          </w:p>
          <w:p>
            <w:pPr>
              <w:keepNext w:val="0"/>
              <w:keepLines w:val="0"/>
              <w:pageBreakBefore w:val="0"/>
              <w:wordWrap/>
              <w:overflowPunct/>
              <w:topLinePunct w:val="0"/>
              <w:autoSpaceDE w:val="0"/>
              <w:autoSpaceDN w:val="0"/>
              <w:bidi w:val="0"/>
              <w:adjustRightInd w:val="0"/>
              <w:spacing w:line="360" w:lineRule="exact"/>
              <w:jc w:val="both"/>
              <w:textAlignment w:val="auto"/>
              <w:rPr>
                <w:color w:val="auto"/>
                <w:sz w:val="21"/>
                <w:szCs w:val="21"/>
                <w:highlight w:val="none"/>
              </w:rPr>
            </w:pPr>
            <w:r>
              <w:rPr>
                <w:rFonts w:hint="eastAsia"/>
                <w:color w:val="auto"/>
                <w:sz w:val="21"/>
                <w:szCs w:val="21"/>
                <w:highlight w:val="none"/>
                <w:lang w:eastAsia="zh-CN"/>
              </w:rPr>
              <w:t>④</w:t>
            </w:r>
            <w:r>
              <w:rPr>
                <w:rFonts w:hint="eastAsia"/>
                <w:color w:val="auto"/>
                <w:sz w:val="21"/>
                <w:szCs w:val="21"/>
                <w:highlight w:val="none"/>
              </w:rPr>
              <w:t>如联合体投标的，则</w:t>
            </w:r>
            <w:r>
              <w:rPr>
                <w:rFonts w:hint="eastAsia"/>
                <w:color w:val="auto"/>
                <w:sz w:val="21"/>
                <w:szCs w:val="21"/>
                <w:highlight w:val="none"/>
                <w:lang w:val="en-US" w:eastAsia="zh-CN"/>
              </w:rPr>
              <w:t>双方单位出具业绩均可</w:t>
            </w:r>
            <w:r>
              <w:rPr>
                <w:rFonts w:hint="eastAsia"/>
                <w:color w:val="auto"/>
                <w:sz w:val="21"/>
                <w:szCs w:val="21"/>
                <w:highlight w:val="none"/>
              </w:rPr>
              <w:t>计</w:t>
            </w:r>
            <w:r>
              <w:rPr>
                <w:rFonts w:hint="eastAsia"/>
                <w:color w:val="auto"/>
                <w:sz w:val="21"/>
                <w:szCs w:val="21"/>
                <w:highlight w:val="none"/>
                <w:lang w:val="en-US" w:eastAsia="zh-CN"/>
              </w:rPr>
              <w:t>取</w:t>
            </w:r>
            <w:r>
              <w:rPr>
                <w:rFonts w:hint="eastAsia"/>
                <w:color w:val="auto"/>
                <w:sz w:val="21"/>
                <w:szCs w:val="21"/>
                <w:highlight w:val="none"/>
                <w:lang w:eastAsia="zh-CN"/>
              </w:rPr>
              <w:t>。</w:t>
            </w:r>
          </w:p>
        </w:tc>
        <w:tc>
          <w:tcPr>
            <w:tcW w:w="712" w:type="dxa"/>
            <w:tcBorders>
              <w:top w:val="single" w:color="000000" w:sz="4" w:space="0"/>
              <w:left w:val="single" w:color="auto" w:sz="4" w:space="0"/>
              <w:right w:val="single" w:color="000000" w:sz="4" w:space="0"/>
            </w:tcBorders>
            <w:vAlign w:val="center"/>
          </w:tcPr>
          <w:p>
            <w:pPr>
              <w:autoSpaceDE/>
              <w:autoSpaceDN/>
              <w:adjustRightInd/>
              <w:spacing w:line="288" w:lineRule="auto"/>
              <w:jc w:val="center"/>
              <w:rPr>
                <w:rFonts w:hint="default" w:eastAsia="宋体"/>
                <w:color w:val="auto"/>
                <w:sz w:val="21"/>
                <w:szCs w:val="21"/>
                <w:highlight w:val="none"/>
                <w:lang w:val="en-US" w:eastAsia="zh-CN"/>
              </w:rPr>
            </w:pPr>
            <w:r>
              <w:rPr>
                <w:rFonts w:hint="eastAsia" w:ascii="宋体" w:hAnsi="宋体" w:cs="宋体"/>
                <w:b/>
                <w:bCs/>
                <w:color w:val="000000" w:themeColor="text1"/>
                <w:sz w:val="21"/>
                <w:szCs w:val="21"/>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tcBorders>
              <w:top w:val="single" w:color="000000" w:sz="4" w:space="0"/>
              <w:left w:val="single" w:color="000000" w:sz="4" w:space="0"/>
              <w:bottom w:val="single" w:color="000000" w:sz="4" w:space="0"/>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cs="宋体"/>
                <w:b/>
                <w:bCs/>
                <w:color w:val="000000" w:themeColor="text1"/>
                <w:sz w:val="21"/>
                <w:szCs w:val="21"/>
                <w:highlight w:val="none"/>
                <w14:textFill>
                  <w14:solidFill>
                    <w14:schemeClr w14:val="tx1"/>
                  </w14:solidFill>
                </w14:textFill>
              </w:rPr>
              <w:t>2</w:t>
            </w:r>
          </w:p>
        </w:tc>
        <w:tc>
          <w:tcPr>
            <w:tcW w:w="887" w:type="dxa"/>
            <w:tcBorders>
              <w:top w:val="single" w:color="000000" w:sz="4" w:space="0"/>
              <w:left w:val="nil"/>
              <w:bottom w:val="single" w:color="000000" w:sz="4" w:space="0"/>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cs="宋体"/>
                <w:snapToGrid w:val="0"/>
                <w:color w:val="000000" w:themeColor="text1"/>
                <w:sz w:val="21"/>
                <w:szCs w:val="21"/>
                <w:highlight w:val="none"/>
                <w14:textFill>
                  <w14:solidFill>
                    <w14:schemeClr w14:val="tx1"/>
                  </w14:solidFill>
                </w14:textFill>
              </w:rPr>
              <w:t>投标人荣誉</w:t>
            </w:r>
          </w:p>
        </w:tc>
        <w:tc>
          <w:tcPr>
            <w:tcW w:w="6496" w:type="dxa"/>
            <w:tcBorders>
              <w:top w:val="single" w:color="000000" w:sz="4" w:space="0"/>
              <w:left w:val="nil"/>
              <w:bottom w:val="single" w:color="000000" w:sz="4" w:space="0"/>
              <w:right w:val="single" w:color="auto" w:sz="4" w:space="0"/>
            </w:tcBorders>
            <w:vAlign w:val="center"/>
          </w:tcPr>
          <w:p>
            <w:pPr>
              <w:pageBreakBefore w:val="0"/>
              <w:widowControl/>
              <w:numPr>
                <w:ilvl w:val="0"/>
                <w:numId w:val="31"/>
              </w:numPr>
              <w:kinsoku/>
              <w:wordWrap/>
              <w:overflowPunct/>
              <w:topLinePunct w:val="0"/>
              <w:autoSpaceDN/>
              <w:bidi w:val="0"/>
              <w:snapToGrid w:val="0"/>
              <w:spacing w:line="360" w:lineRule="exact"/>
              <w:ind w:firstLine="420" w:firstLineChars="200"/>
              <w:textAlignment w:val="auto"/>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olor w:val="auto"/>
                <w:sz w:val="21"/>
                <w:szCs w:val="21"/>
                <w:highlight w:val="none"/>
              </w:rPr>
              <w:t>投标人</w:t>
            </w:r>
            <w:r>
              <w:rPr>
                <w:rFonts w:hint="eastAsia" w:ascii="宋体" w:hAnsi="宋体"/>
                <w:color w:val="auto"/>
                <w:sz w:val="21"/>
                <w:szCs w:val="21"/>
                <w:highlight w:val="none"/>
                <w:lang w:val="en-US" w:eastAsia="zh-CN"/>
              </w:rPr>
              <w:t>自</w:t>
            </w:r>
            <w:r>
              <w:rPr>
                <w:rFonts w:hint="eastAsia" w:ascii="宋体" w:hAnsi="宋体"/>
                <w:color w:val="auto"/>
                <w:sz w:val="21"/>
                <w:szCs w:val="21"/>
                <w:highlight w:val="none"/>
              </w:rPr>
              <w:t>20</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年1月1日（以获奖证书或文件的落款日期为准）</w:t>
            </w:r>
            <w:r>
              <w:rPr>
                <w:rFonts w:hint="eastAsia" w:ascii="宋体" w:hAnsi="宋体"/>
                <w:color w:val="auto"/>
                <w:sz w:val="21"/>
                <w:szCs w:val="21"/>
                <w:highlight w:val="none"/>
                <w:lang w:val="en-US" w:eastAsia="zh-CN"/>
              </w:rPr>
              <w:t>以来</w:t>
            </w:r>
            <w:r>
              <w:rPr>
                <w:rFonts w:hint="eastAsia" w:ascii="宋体" w:hAnsi="宋体"/>
                <w:color w:val="auto"/>
                <w:sz w:val="21"/>
                <w:szCs w:val="21"/>
                <w:highlight w:val="none"/>
              </w:rPr>
              <w:t>，完成过的</w:t>
            </w:r>
            <w:r>
              <w:rPr>
                <w:rFonts w:hint="eastAsia" w:ascii="宋体" w:hAnsi="宋体"/>
                <w:color w:val="auto"/>
                <w:sz w:val="21"/>
                <w:szCs w:val="21"/>
                <w:highlight w:val="none"/>
                <w:lang w:val="en-US" w:eastAsia="zh-CN"/>
              </w:rPr>
              <w:t>民用</w:t>
            </w:r>
            <w:r>
              <w:rPr>
                <w:rFonts w:hint="eastAsia" w:ascii="宋体" w:hAnsi="宋体"/>
                <w:color w:val="auto"/>
                <w:sz w:val="21"/>
                <w:szCs w:val="21"/>
                <w:highlight w:val="none"/>
              </w:rPr>
              <w:t>建筑项目（除参建单位外）获得过</w:t>
            </w:r>
            <w:r>
              <w:rPr>
                <w:rFonts w:hint="eastAsia" w:ascii="宋体" w:hAnsi="宋体"/>
                <w:color w:val="auto"/>
                <w:sz w:val="21"/>
                <w:szCs w:val="21"/>
                <w:highlight w:val="none"/>
                <w:lang w:val="en-US" w:eastAsia="zh-CN"/>
              </w:rPr>
              <w:t>国家级</w:t>
            </w:r>
            <w:r>
              <w:rPr>
                <w:rFonts w:hint="eastAsia" w:ascii="宋体" w:hAnsi="宋体"/>
                <w:color w:val="auto"/>
                <w:sz w:val="21"/>
                <w:szCs w:val="21"/>
                <w:highlight w:val="none"/>
              </w:rPr>
              <w:t>奖项的（</w:t>
            </w:r>
            <w:r>
              <w:rPr>
                <w:rFonts w:hint="eastAsia" w:ascii="宋体" w:hAnsi="宋体"/>
                <w:color w:val="auto"/>
                <w:sz w:val="21"/>
                <w:szCs w:val="21"/>
                <w:highlight w:val="none"/>
                <w:lang w:val="en-US" w:eastAsia="zh-CN"/>
              </w:rPr>
              <w:t>国家优质工程奖、鲁班奖</w:t>
            </w:r>
            <w:r>
              <w:rPr>
                <w:rFonts w:hint="eastAsia" w:ascii="宋体" w:hAnsi="宋体"/>
                <w:color w:val="auto"/>
                <w:sz w:val="21"/>
                <w:szCs w:val="21"/>
                <w:highlight w:val="none"/>
              </w:rPr>
              <w:t>），得</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获得过</w:t>
            </w:r>
            <w:r>
              <w:rPr>
                <w:rFonts w:hint="eastAsia" w:ascii="宋体" w:hAnsi="宋体"/>
                <w:color w:val="auto"/>
                <w:sz w:val="21"/>
                <w:szCs w:val="21"/>
                <w:highlight w:val="none"/>
                <w:lang w:val="en-US" w:eastAsia="zh-CN"/>
              </w:rPr>
              <w:t>省</w:t>
            </w:r>
            <w:r>
              <w:rPr>
                <w:rFonts w:hint="eastAsia" w:ascii="宋体" w:hAnsi="宋体"/>
                <w:color w:val="auto"/>
                <w:sz w:val="21"/>
                <w:szCs w:val="21"/>
                <w:highlight w:val="none"/>
              </w:rPr>
              <w:t>级奖项的（如“</w:t>
            </w:r>
            <w:r>
              <w:rPr>
                <w:rFonts w:hint="eastAsia" w:ascii="宋体" w:hAnsi="宋体"/>
                <w:color w:val="auto"/>
                <w:sz w:val="21"/>
                <w:szCs w:val="21"/>
                <w:highlight w:val="none"/>
                <w:lang w:val="en-US" w:eastAsia="zh-CN"/>
              </w:rPr>
              <w:t>钱江杯</w:t>
            </w:r>
            <w:r>
              <w:rPr>
                <w:rFonts w:hint="eastAsia" w:ascii="宋体" w:hAnsi="宋体"/>
                <w:color w:val="auto"/>
                <w:sz w:val="21"/>
                <w:szCs w:val="21"/>
                <w:highlight w:val="none"/>
              </w:rPr>
              <w:t>”等）</w:t>
            </w:r>
            <w:r>
              <w:rPr>
                <w:rFonts w:hint="eastAsia" w:ascii="宋体" w:hAnsi="宋体"/>
                <w:color w:val="auto"/>
                <w:sz w:val="21"/>
                <w:szCs w:val="21"/>
                <w:highlight w:val="none"/>
                <w:lang w:eastAsia="zh-CN"/>
              </w:rPr>
              <w:t>，</w:t>
            </w:r>
            <w:r>
              <w:rPr>
                <w:rFonts w:hint="eastAsia" w:ascii="宋体" w:hAnsi="宋体"/>
                <w:color w:val="auto"/>
                <w:sz w:val="21"/>
                <w:szCs w:val="21"/>
                <w:highlight w:val="none"/>
              </w:rPr>
              <w:t>得</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w:t>
            </w:r>
            <w:r>
              <w:rPr>
                <w:rFonts w:hint="eastAsia" w:ascii="宋体" w:hAnsi="宋体"/>
                <w:color w:val="auto"/>
                <w:sz w:val="21"/>
                <w:szCs w:val="21"/>
                <w:highlight w:val="none"/>
                <w:lang w:val="en-US" w:eastAsia="zh-CN"/>
              </w:rPr>
              <w:t>;</w:t>
            </w:r>
            <w:r>
              <w:rPr>
                <w:rFonts w:hint="eastAsia" w:ascii="宋体" w:hAnsi="宋体" w:cs="宋体"/>
                <w:snapToGrid w:val="0"/>
                <w:color w:val="000000" w:themeColor="text1"/>
                <w:sz w:val="21"/>
                <w:szCs w:val="21"/>
                <w:highlight w:val="none"/>
                <w14:textFill>
                  <w14:solidFill>
                    <w14:schemeClr w14:val="tx1"/>
                  </w14:solidFill>
                </w14:textFill>
              </w:rPr>
              <w:t>获得过地市级</w:t>
            </w:r>
            <w:r>
              <w:rPr>
                <w:rFonts w:hint="eastAsia" w:ascii="宋体" w:hAnsi="宋体" w:cs="宋体"/>
                <w:snapToGrid w:val="0"/>
                <w:color w:val="000000" w:themeColor="text1"/>
                <w:sz w:val="21"/>
                <w:szCs w:val="21"/>
                <w:highlight w:val="none"/>
                <w:lang w:val="en-US" w:eastAsia="zh-CN"/>
                <w14:textFill>
                  <w14:solidFill>
                    <w14:schemeClr w14:val="tx1"/>
                  </w14:solidFill>
                </w14:textFill>
              </w:rPr>
              <w:t>奖项</w:t>
            </w:r>
            <w:r>
              <w:rPr>
                <w:rFonts w:hint="eastAsia" w:ascii="宋体" w:hAnsi="宋体" w:cs="宋体"/>
                <w:snapToGrid w:val="0"/>
                <w:color w:val="000000" w:themeColor="text1"/>
                <w:sz w:val="21"/>
                <w:szCs w:val="21"/>
                <w:highlight w:val="none"/>
                <w14:textFill>
                  <w14:solidFill>
                    <w14:schemeClr w14:val="tx1"/>
                  </w14:solidFill>
                </w14:textFill>
              </w:rPr>
              <w:t>的（类似兰花杯），每个得</w:t>
            </w:r>
            <w:r>
              <w:rPr>
                <w:rFonts w:hint="eastAsia" w:ascii="宋体" w:hAnsi="宋体" w:cs="宋体"/>
                <w:snapToGrid w:val="0"/>
                <w:color w:val="000000" w:themeColor="text1"/>
                <w:sz w:val="21"/>
                <w:szCs w:val="21"/>
                <w:highlight w:val="none"/>
                <w:lang w:val="en-US" w:eastAsia="zh-CN"/>
                <w14:textFill>
                  <w14:solidFill>
                    <w14:schemeClr w14:val="tx1"/>
                  </w14:solidFill>
                </w14:textFill>
              </w:rPr>
              <w:t>0.25</w:t>
            </w:r>
            <w:r>
              <w:rPr>
                <w:rFonts w:hint="eastAsia" w:ascii="宋体" w:hAnsi="宋体" w:cs="宋体"/>
                <w:snapToGrid w:val="0"/>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14:textFill>
                  <w14:solidFill>
                    <w14:schemeClr w14:val="tx1"/>
                  </w14:solidFill>
                </w14:textFill>
              </w:rPr>
              <w:t>本项最多计取</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个奖项</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最高得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分。</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color w:val="FF0000"/>
                <w:sz w:val="21"/>
                <w:szCs w:val="21"/>
                <w:highlight w:val="none"/>
                <w:lang w:val="en-US" w:eastAsia="zh-CN"/>
              </w:rPr>
            </w:pPr>
            <w:r>
              <w:rPr>
                <w:rFonts w:hint="eastAsia" w:ascii="宋体" w:hAnsi="宋体" w:cs="宋体"/>
                <w:b/>
                <w:bCs/>
                <w:color w:val="auto"/>
                <w:sz w:val="21"/>
                <w:szCs w:val="21"/>
                <w:highlight w:val="none"/>
                <w:u w:val="single"/>
                <w:lang w:bidi="ar"/>
              </w:rPr>
              <w:t>民用建筑：根据《民用建筑设计统一标准》GB 50352-2019定义，民用建筑是指供人们居住和进行公共活动的建筑的总称。民用建筑按使用功能可分为居住建筑和公共建筑两大类。</w:t>
            </w:r>
          </w:p>
          <w:p>
            <w:pPr>
              <w:pageBreakBefore w:val="0"/>
              <w:widowControl/>
              <w:kinsoku/>
              <w:wordWrap/>
              <w:overflowPunct/>
              <w:topLinePunct w:val="0"/>
              <w:autoSpaceDN/>
              <w:bidi w:val="0"/>
              <w:snapToGrid w:val="0"/>
              <w:spacing w:line="360" w:lineRule="exac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备注：</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①</w:t>
            </w:r>
            <w:r>
              <w:rPr>
                <w:rFonts w:hint="eastAsia" w:ascii="宋体" w:hAnsi="宋体" w:cs="宋体"/>
                <w:b/>
                <w:bCs/>
                <w:color w:val="000000" w:themeColor="text1"/>
                <w:sz w:val="21"/>
                <w:szCs w:val="21"/>
                <w:highlight w:val="none"/>
                <w14:textFill>
                  <w14:solidFill>
                    <w14:schemeClr w14:val="tx1"/>
                  </w14:solidFill>
                </w14:textFill>
              </w:rPr>
              <w:t>投标人需提供获奖证书或证明文件</w:t>
            </w:r>
            <w:r>
              <w:rPr>
                <w:rFonts w:hint="eastAsia" w:ascii="宋体" w:hAnsi="宋体" w:cs="宋体"/>
                <w:b/>
                <w:bCs/>
                <w:color w:val="000000" w:themeColor="text1"/>
                <w:sz w:val="21"/>
                <w:szCs w:val="21"/>
                <w:highlight w:val="none"/>
                <w:lang w:val="en-US" w:eastAsia="zh-CN"/>
                <w14:textFill>
                  <w14:solidFill>
                    <w14:schemeClr w14:val="tx1"/>
                  </w14:solidFill>
                </w14:textFill>
              </w:rPr>
              <w:t>(不含参建）</w:t>
            </w:r>
            <w:r>
              <w:rPr>
                <w:rFonts w:hint="eastAsia" w:ascii="宋体" w:hAnsi="宋体" w:cs="宋体"/>
                <w:b/>
                <w:bCs/>
                <w:color w:val="000000" w:themeColor="text1"/>
                <w:sz w:val="21"/>
                <w:szCs w:val="21"/>
                <w:highlight w:val="none"/>
                <w14:textFill>
                  <w14:solidFill>
                    <w14:schemeClr w14:val="tx1"/>
                  </w14:solidFill>
                </w14:textFill>
              </w:rPr>
              <w:t>、施工合同等证明材料用原件扫描件并加盖投标单位电</w:t>
            </w:r>
            <w:r>
              <w:rPr>
                <w:rFonts w:hint="eastAsia" w:ascii="宋体" w:hAnsi="宋体" w:eastAsia="宋体" w:cs="宋体"/>
                <w:b/>
                <w:bCs/>
                <w:color w:val="000000" w:themeColor="text1"/>
                <w:sz w:val="21"/>
                <w:szCs w:val="21"/>
                <w:highlight w:val="none"/>
                <w14:textFill>
                  <w14:solidFill>
                    <w14:schemeClr w14:val="tx1"/>
                  </w14:solidFill>
                </w14:textFill>
              </w:rPr>
              <w:t>子印章；</w:t>
            </w:r>
          </w:p>
          <w:p>
            <w:pPr>
              <w:pageBreakBefore w:val="0"/>
              <w:widowControl/>
              <w:kinsoku/>
              <w:wordWrap/>
              <w:overflowPunct/>
              <w:topLinePunct w:val="0"/>
              <w:autoSpaceDN/>
              <w:bidi w:val="0"/>
              <w:snapToGrid w:val="0"/>
              <w:spacing w:line="360" w:lineRule="exac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②</w:t>
            </w:r>
            <w:r>
              <w:rPr>
                <w:rFonts w:hint="eastAsia" w:ascii="宋体" w:hAnsi="宋体" w:eastAsia="宋体" w:cs="宋体"/>
                <w:b/>
                <w:bCs/>
                <w:color w:val="000000" w:themeColor="text1"/>
                <w:sz w:val="21"/>
                <w:szCs w:val="21"/>
                <w:highlight w:val="none"/>
                <w14:textFill>
                  <w14:solidFill>
                    <w14:schemeClr w14:val="tx1"/>
                  </w14:solidFill>
                </w14:textFill>
              </w:rPr>
              <w:t xml:space="preserve">投标人名称发生合法变更的，还需提供合法有效的变更文件；  </w:t>
            </w:r>
          </w:p>
          <w:p>
            <w:pPr>
              <w:pageBreakBefore w:val="0"/>
              <w:widowControl/>
              <w:kinsoku/>
              <w:wordWrap/>
              <w:overflowPunct/>
              <w:topLinePunct w:val="0"/>
              <w:autoSpaceDN/>
              <w:bidi w:val="0"/>
              <w:snapToGrid w:val="0"/>
              <w:spacing w:line="360" w:lineRule="exact"/>
              <w:textAlignment w:val="auto"/>
              <w:rPr>
                <w:color w:val="auto"/>
                <w:sz w:val="21"/>
                <w:szCs w:val="21"/>
                <w:highlight w:val="none"/>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③</w:t>
            </w:r>
            <w:r>
              <w:rPr>
                <w:rFonts w:hint="eastAsia" w:ascii="宋体" w:hAnsi="宋体" w:eastAsia="宋体" w:cs="宋体"/>
                <w:b/>
                <w:bCs/>
                <w:color w:val="000000" w:themeColor="text1"/>
                <w:sz w:val="21"/>
                <w:szCs w:val="21"/>
                <w:highlight w:val="none"/>
                <w14:textFill>
                  <w14:solidFill>
                    <w14:schemeClr w14:val="tx1"/>
                  </w14:solidFill>
                </w14:textFill>
              </w:rPr>
              <w:t>如联合体投标的，则</w:t>
            </w:r>
            <w:r>
              <w:rPr>
                <w:rFonts w:hint="eastAsia" w:ascii="宋体" w:hAnsi="宋体"/>
                <w:b/>
                <w:bCs/>
                <w:color w:val="auto"/>
                <w:sz w:val="21"/>
                <w:szCs w:val="21"/>
                <w:highlight w:val="none"/>
                <w:lang w:val="en-US" w:eastAsia="zh-CN"/>
              </w:rPr>
              <w:t>双方单位出具奖项均可</w:t>
            </w:r>
            <w:r>
              <w:rPr>
                <w:rFonts w:hint="eastAsia" w:ascii="宋体" w:hAnsi="宋体"/>
                <w:b/>
                <w:bCs/>
                <w:color w:val="auto"/>
                <w:sz w:val="21"/>
                <w:szCs w:val="21"/>
                <w:highlight w:val="none"/>
              </w:rPr>
              <w:t>计</w:t>
            </w:r>
            <w:r>
              <w:rPr>
                <w:rFonts w:hint="eastAsia" w:ascii="宋体" w:hAnsi="宋体"/>
                <w:b/>
                <w:bCs/>
                <w:color w:val="auto"/>
                <w:sz w:val="21"/>
                <w:szCs w:val="21"/>
                <w:highlight w:val="none"/>
                <w:lang w:val="en-US" w:eastAsia="zh-CN"/>
              </w:rPr>
              <w:t>取</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p>
        </w:tc>
        <w:tc>
          <w:tcPr>
            <w:tcW w:w="712" w:type="dxa"/>
            <w:tcBorders>
              <w:top w:val="single" w:color="000000" w:sz="4" w:space="0"/>
              <w:left w:val="single" w:color="auto" w:sz="4" w:space="0"/>
              <w:bottom w:val="single" w:color="000000" w:sz="4" w:space="0"/>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cs="宋体"/>
                <w:b/>
                <w:bCs/>
                <w:color w:val="000000" w:themeColor="text1"/>
                <w:sz w:val="21"/>
                <w:szCs w:val="21"/>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583" w:type="dxa"/>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cs="宋体"/>
                <w:b/>
                <w:bCs/>
                <w:color w:val="000000" w:themeColor="text1"/>
                <w:sz w:val="21"/>
                <w:szCs w:val="21"/>
                <w:highlight w:val="none"/>
                <w14:textFill>
                  <w14:solidFill>
                    <w14:schemeClr w14:val="tx1"/>
                  </w14:solidFill>
                </w14:textFill>
              </w:rPr>
              <w:t>3</w:t>
            </w:r>
          </w:p>
        </w:tc>
        <w:tc>
          <w:tcPr>
            <w:tcW w:w="887" w:type="dxa"/>
            <w:tcBorders>
              <w:top w:val="single" w:color="000000" w:sz="4" w:space="0"/>
              <w:left w:val="nil"/>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cs="宋体"/>
                <w:snapToGrid w:val="0"/>
                <w:color w:val="000000" w:themeColor="text1"/>
                <w:sz w:val="21"/>
                <w:szCs w:val="21"/>
                <w:highlight w:val="none"/>
                <w14:textFill>
                  <w14:solidFill>
                    <w14:schemeClr w14:val="tx1"/>
                  </w14:solidFill>
                </w14:textFill>
              </w:rPr>
              <w:t>拟派项目负责人业绩</w:t>
            </w:r>
          </w:p>
        </w:tc>
        <w:tc>
          <w:tcPr>
            <w:tcW w:w="6496" w:type="dxa"/>
            <w:tcBorders>
              <w:top w:val="single" w:color="000000" w:sz="4" w:space="0"/>
              <w:left w:val="nil"/>
              <w:bottom w:val="single" w:color="000000" w:sz="4" w:space="0"/>
              <w:right w:val="single" w:color="auto" w:sz="4" w:space="0"/>
            </w:tcBorders>
            <w:vAlign w:val="center"/>
          </w:tcPr>
          <w:p>
            <w:pPr>
              <w:pStyle w:val="10"/>
              <w:keepNext w:val="0"/>
              <w:keepLines w:val="0"/>
              <w:pageBreakBefore w:val="0"/>
              <w:kinsoku w:val="0"/>
              <w:wordWrap/>
              <w:overflowPunct/>
              <w:topLinePunct w:val="0"/>
              <w:autoSpaceDE w:val="0"/>
              <w:autoSpaceDN w:val="0"/>
              <w:bidi w:val="0"/>
              <w:adjustRightInd w:val="0"/>
              <w:snapToGrid w:val="0"/>
              <w:spacing w:before="0" w:beforeAutospacing="0" w:after="0" w:afterAutospacing="0" w:line="360" w:lineRule="exact"/>
              <w:ind w:left="0"/>
              <w:jc w:val="both"/>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项目负责人自2019年1月1日（以项目竣工验收时间为准）以来，完成过单个合同总建筑面积5万平方米以上（含）且8万平方米以下（不含）的PC装配式民用建筑的施工总承包或工程总承包业绩的，得0.5分，完成过单个合同总建筑面积8万平方米及以上（含）的PC装配式民用建筑的施工总承包或工程总承包业绩的，得1分最多得1分。本项最多计取1个业绩。</w:t>
            </w:r>
          </w:p>
          <w:p>
            <w:pPr>
              <w:keepNext w:val="0"/>
              <w:keepLines w:val="0"/>
              <w:pageBreakBefore w:val="0"/>
              <w:widowControl/>
              <w:wordWrap/>
              <w:overflowPunct/>
              <w:topLinePunct w:val="0"/>
              <w:autoSpaceDE w:val="0"/>
              <w:autoSpaceDN w:val="0"/>
              <w:bidi w:val="0"/>
              <w:adjustRightInd w:val="0"/>
              <w:spacing w:line="360" w:lineRule="exact"/>
              <w:jc w:val="both"/>
              <w:textAlignment w:val="auto"/>
              <w:rPr>
                <w:rFonts w:hint="default" w:ascii="Times New Roman" w:hAnsi="Times New Roman" w:eastAsia="宋体" w:cs="Times New Roman"/>
                <w:b/>
                <w:bCs/>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注：项目负责人以合同及竣工验收证书或竣工验收报告或竣工验收备案表）中注明的同一人为准。</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color w:val="auto"/>
                <w:sz w:val="21"/>
                <w:szCs w:val="21"/>
                <w:highlight w:val="none"/>
              </w:rPr>
            </w:pPr>
            <w:r>
              <w:rPr>
                <w:rFonts w:hint="eastAsia"/>
                <w:color w:val="auto"/>
                <w:sz w:val="21"/>
                <w:szCs w:val="21"/>
                <w:highlight w:val="none"/>
              </w:rPr>
              <w:t>①业绩证明资料：施工合同、施工许可证、竣工验收资料（竣工验收证书或竣工验收报告或竣工验收备案表）备注：</w:t>
            </w:r>
            <w:r>
              <w:rPr>
                <w:rFonts w:hint="eastAsia"/>
                <w:color w:val="auto"/>
                <w:sz w:val="21"/>
                <w:szCs w:val="21"/>
                <w:highlight w:val="none"/>
                <w:lang w:eastAsia="zh-CN"/>
              </w:rPr>
              <w:t>单位工程质量竣工验收记录</w:t>
            </w:r>
            <w:r>
              <w:rPr>
                <w:rFonts w:hint="eastAsia"/>
                <w:color w:val="auto"/>
                <w:sz w:val="21"/>
                <w:szCs w:val="21"/>
                <w:highlight w:val="none"/>
              </w:rPr>
              <w:t>不予认可。上述业绩证明资料缺一不可。②工程业绩时间以</w:t>
            </w:r>
            <w:r>
              <w:rPr>
                <w:rFonts w:hint="eastAsia"/>
                <w:color w:val="auto"/>
                <w:sz w:val="21"/>
                <w:szCs w:val="21"/>
                <w:highlight w:val="none"/>
                <w:lang w:val="en-US" w:eastAsia="zh-CN"/>
              </w:rPr>
              <w:t>竣工验收</w:t>
            </w:r>
            <w:r>
              <w:rPr>
                <w:rFonts w:hint="eastAsia"/>
                <w:color w:val="auto"/>
                <w:sz w:val="21"/>
                <w:szCs w:val="21"/>
                <w:highlight w:val="none"/>
              </w:rPr>
              <w:t>时间为准。③建筑面积包括地上和地下建筑面积，以施工许可证所注为准。</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ascii="宋体" w:hAnsi="宋体" w:cs="宋体"/>
                <w:b/>
                <w:bCs/>
                <w:color w:val="auto"/>
                <w:sz w:val="21"/>
                <w:szCs w:val="21"/>
                <w:highlight w:val="none"/>
                <w:u w:val="single"/>
                <w:lang w:bidi="ar"/>
              </w:rPr>
            </w:pPr>
            <w:r>
              <w:rPr>
                <w:rFonts w:hint="eastAsia" w:ascii="宋体" w:hAnsi="宋体" w:cs="宋体"/>
                <w:b/>
                <w:bCs/>
                <w:color w:val="auto"/>
                <w:sz w:val="21"/>
                <w:szCs w:val="21"/>
                <w:highlight w:val="none"/>
                <w:u w:val="single"/>
                <w:lang w:bidi="ar"/>
              </w:rPr>
              <w:t>民用建筑：根据《民用建筑设计统一标准》GB 50352-2019定义，民用建筑是指供人们居住和进行公共活动的建筑的总称。民用建筑按使用功能可分为居住建筑和公共建筑两大类。</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ascii="宋体" w:hAnsi="宋体" w:cs="宋体"/>
                <w:b/>
                <w:bCs/>
                <w:color w:val="auto"/>
                <w:sz w:val="21"/>
                <w:szCs w:val="21"/>
                <w:highlight w:val="none"/>
                <w:u w:val="single"/>
                <w:lang w:eastAsia="zh-CN" w:bidi="ar"/>
              </w:rPr>
            </w:pPr>
            <w:r>
              <w:rPr>
                <w:rFonts w:hint="eastAsia" w:ascii="宋体" w:hAnsi="宋体" w:cs="宋体"/>
                <w:b/>
                <w:bCs/>
                <w:color w:val="auto"/>
                <w:sz w:val="21"/>
                <w:szCs w:val="21"/>
                <w:highlight w:val="none"/>
                <w:u w:val="single"/>
                <w:lang w:eastAsia="zh-CN" w:bidi="ar"/>
              </w:rPr>
              <w:t>“装配式建筑”定义以《装配式建筑评价标准》（具体参照省、直辖市住建部门颁发的标准执行，例如：</w:t>
            </w:r>
            <w:r>
              <w:rPr>
                <w:rFonts w:hint="eastAsia" w:ascii="宋体" w:hAnsi="宋体" w:cs="宋体"/>
                <w:b/>
                <w:bCs/>
                <w:color w:val="auto"/>
                <w:sz w:val="21"/>
                <w:szCs w:val="21"/>
                <w:highlight w:val="none"/>
                <w:u w:val="single"/>
                <w:lang w:val="en-US" w:eastAsia="zh-CN" w:bidi="ar"/>
              </w:rPr>
              <w:t>DB33/T1165-2019</w:t>
            </w:r>
            <w:r>
              <w:rPr>
                <w:rFonts w:hint="eastAsia" w:ascii="宋体" w:hAnsi="宋体" w:cs="宋体"/>
                <w:b/>
                <w:bCs/>
                <w:color w:val="auto"/>
                <w:sz w:val="21"/>
                <w:szCs w:val="21"/>
                <w:highlight w:val="none"/>
                <w:u w:val="single"/>
                <w:lang w:eastAsia="zh-CN" w:bidi="ar"/>
              </w:rPr>
              <w:t>）的定义为准，由预制部品部件在工地装配而成的建筑称为装配式建筑。</w:t>
            </w:r>
          </w:p>
        </w:tc>
        <w:tc>
          <w:tcPr>
            <w:tcW w:w="712" w:type="dxa"/>
            <w:tcBorders>
              <w:top w:val="single" w:color="000000" w:sz="4" w:space="0"/>
              <w:left w:val="single" w:color="auto" w:sz="4" w:space="0"/>
              <w:right w:val="single" w:color="000000" w:sz="4" w:space="0"/>
            </w:tcBorders>
            <w:vAlign w:val="center"/>
          </w:tcPr>
          <w:p>
            <w:pPr>
              <w:autoSpaceDE/>
              <w:autoSpaceDN/>
              <w:adjustRightInd/>
              <w:spacing w:line="288" w:lineRule="auto"/>
              <w:jc w:val="center"/>
              <w:rPr>
                <w:color w:val="auto"/>
                <w:sz w:val="21"/>
                <w:szCs w:val="21"/>
                <w:highlight w:val="none"/>
              </w:rPr>
            </w:pPr>
            <w:r>
              <w:rPr>
                <w:rFonts w:hint="eastAsia" w:ascii="宋体" w:hAnsi="宋体" w:cs="宋体"/>
                <w:b/>
                <w:bCs/>
                <w:color w:val="000000" w:themeColor="text1"/>
                <w:sz w:val="21"/>
                <w:szCs w:val="21"/>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583" w:type="dxa"/>
            <w:tcBorders>
              <w:top w:val="single" w:color="000000" w:sz="4" w:space="0"/>
              <w:left w:val="single" w:color="000000" w:sz="4" w:space="0"/>
              <w:right w:val="single" w:color="000000" w:sz="4" w:space="0"/>
            </w:tcBorders>
            <w:vAlign w:val="center"/>
          </w:tcPr>
          <w:p>
            <w:pPr>
              <w:autoSpaceDE/>
              <w:autoSpaceDN/>
              <w:adjustRightInd/>
              <w:spacing w:line="288" w:lineRule="auto"/>
              <w:jc w:val="cente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w:t>
            </w:r>
          </w:p>
        </w:tc>
        <w:tc>
          <w:tcPr>
            <w:tcW w:w="887" w:type="dxa"/>
            <w:tcBorders>
              <w:top w:val="single" w:color="000000" w:sz="4" w:space="0"/>
              <w:left w:val="nil"/>
              <w:right w:val="single" w:color="000000" w:sz="4" w:space="0"/>
            </w:tcBorders>
            <w:vAlign w:val="center"/>
          </w:tcPr>
          <w:p>
            <w:pPr>
              <w:autoSpaceDE/>
              <w:autoSpaceDN/>
              <w:adjustRightInd/>
              <w:spacing w:line="288" w:lineRule="auto"/>
              <w:jc w:val="center"/>
              <w:rPr>
                <w:rFonts w:hint="eastAsia" w:ascii="宋体" w:hAnsi="宋体" w:eastAsia="宋体" w:cs="宋体"/>
                <w:snapToGrid w:val="0"/>
                <w:color w:val="000000" w:themeColor="text1"/>
                <w:sz w:val="21"/>
                <w:szCs w:val="21"/>
                <w:highlight w:val="none"/>
                <w:lang w:val="en-US" w:eastAsia="zh-CN"/>
                <w14:textFill>
                  <w14:solidFill>
                    <w14:schemeClr w14:val="tx1"/>
                  </w14:solidFill>
                </w14:textFill>
              </w:rPr>
            </w:pPr>
            <w:r>
              <w:rPr>
                <w:rFonts w:hint="eastAsia" w:ascii="宋体" w:hAnsi="宋体" w:cs="宋体"/>
                <w:snapToGrid w:val="0"/>
                <w:color w:val="000000" w:themeColor="text1"/>
                <w:sz w:val="21"/>
                <w:szCs w:val="21"/>
                <w:highlight w:val="none"/>
                <w14:textFill>
                  <w14:solidFill>
                    <w14:schemeClr w14:val="tx1"/>
                  </w14:solidFill>
                </w14:textFill>
              </w:rPr>
              <w:t>拟派项目负责人</w:t>
            </w:r>
            <w:r>
              <w:rPr>
                <w:rFonts w:hint="eastAsia" w:ascii="宋体" w:hAnsi="宋体" w:cs="宋体"/>
                <w:snapToGrid w:val="0"/>
                <w:color w:val="000000" w:themeColor="text1"/>
                <w:sz w:val="21"/>
                <w:szCs w:val="21"/>
                <w:highlight w:val="none"/>
                <w:lang w:val="en-US" w:eastAsia="zh-CN"/>
                <w14:textFill>
                  <w14:solidFill>
                    <w14:schemeClr w14:val="tx1"/>
                  </w14:solidFill>
                </w14:textFill>
              </w:rPr>
              <w:t>荣誉</w:t>
            </w:r>
          </w:p>
        </w:tc>
        <w:tc>
          <w:tcPr>
            <w:tcW w:w="6496" w:type="dxa"/>
            <w:tcBorders>
              <w:top w:val="single" w:color="000000" w:sz="4" w:space="0"/>
              <w:left w:val="nil"/>
              <w:bottom w:val="single" w:color="000000" w:sz="4" w:space="0"/>
              <w:right w:val="single" w:color="auto" w:sz="4" w:space="0"/>
            </w:tcBorders>
            <w:vAlign w:val="center"/>
          </w:tcPr>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ascii="宋体" w:hAnsi="宋体" w:cs="宋体"/>
                <w:b w:val="0"/>
                <w:bCs w:val="0"/>
                <w:color w:val="auto"/>
                <w:sz w:val="21"/>
                <w:szCs w:val="21"/>
                <w:highlight w:val="none"/>
                <w:u w:val="none"/>
                <w:lang w:eastAsia="zh-CN" w:bidi="ar"/>
              </w:rPr>
            </w:pPr>
            <w:r>
              <w:rPr>
                <w:rFonts w:hint="eastAsia" w:ascii="宋体" w:hAnsi="宋体" w:cs="宋体"/>
                <w:b w:val="0"/>
                <w:bCs w:val="0"/>
                <w:color w:val="auto"/>
                <w:sz w:val="21"/>
                <w:szCs w:val="21"/>
                <w:highlight w:val="none"/>
                <w:u w:val="none"/>
                <w:lang w:eastAsia="zh-CN" w:bidi="ar"/>
              </w:rPr>
              <w:t>项目负责人自20</w:t>
            </w:r>
            <w:r>
              <w:rPr>
                <w:rFonts w:hint="eastAsia" w:ascii="宋体" w:hAnsi="宋体" w:cs="宋体"/>
                <w:b w:val="0"/>
                <w:bCs w:val="0"/>
                <w:color w:val="auto"/>
                <w:sz w:val="21"/>
                <w:szCs w:val="21"/>
                <w:highlight w:val="none"/>
                <w:u w:val="none"/>
                <w:lang w:val="en-US" w:eastAsia="zh-CN" w:bidi="ar"/>
              </w:rPr>
              <w:t>19</w:t>
            </w:r>
            <w:r>
              <w:rPr>
                <w:rFonts w:hint="eastAsia" w:ascii="宋体" w:hAnsi="宋体" w:cs="宋体"/>
                <w:b w:val="0"/>
                <w:bCs w:val="0"/>
                <w:color w:val="auto"/>
                <w:sz w:val="21"/>
                <w:szCs w:val="21"/>
                <w:highlight w:val="none"/>
                <w:u w:val="none"/>
                <w:lang w:eastAsia="zh-CN" w:bidi="ar"/>
              </w:rPr>
              <w:t>年1月1日(以获奖证书或文件的落款日期为准)以来，完成过的民用建筑项目获得过省级及以上奖项的(如“钱江杯”等)，得0.5分;获得过市级奖项的(如“兰花杯”等)，得0.25分；本项最多计取1个奖项，最多得0.5分。</w:t>
            </w:r>
          </w:p>
          <w:p>
            <w:pPr>
              <w:keepNext w:val="0"/>
              <w:keepLines w:val="0"/>
              <w:pageBreakBefore w:val="0"/>
              <w:wordWrap/>
              <w:overflowPunct/>
              <w:topLinePunct w:val="0"/>
              <w:autoSpaceDE w:val="0"/>
              <w:autoSpaceDN w:val="0"/>
              <w:bidi w:val="0"/>
              <w:adjustRightInd w:val="0"/>
              <w:spacing w:line="360" w:lineRule="exact"/>
              <w:jc w:val="both"/>
              <w:textAlignment w:val="auto"/>
              <w:rPr>
                <w:rFonts w:hint="eastAsia" w:ascii="宋体" w:hAnsi="宋体" w:cs="宋体"/>
                <w:b/>
                <w:bCs/>
                <w:color w:val="auto"/>
                <w:sz w:val="21"/>
                <w:szCs w:val="21"/>
                <w:highlight w:val="none"/>
                <w:u w:val="single"/>
                <w:lang w:eastAsia="zh-CN" w:bidi="ar"/>
              </w:rPr>
            </w:pPr>
            <w:r>
              <w:rPr>
                <w:rFonts w:hint="eastAsia" w:ascii="宋体" w:hAnsi="宋体" w:cs="宋体"/>
                <w:b/>
                <w:bCs/>
                <w:color w:val="auto"/>
                <w:sz w:val="21"/>
                <w:szCs w:val="21"/>
                <w:highlight w:val="none"/>
                <w:u w:val="single"/>
                <w:lang w:eastAsia="zh-CN" w:bidi="ar"/>
              </w:rPr>
              <w:t>注:项目负责人以获奖证书或文件为准。</w:t>
            </w:r>
          </w:p>
        </w:tc>
        <w:tc>
          <w:tcPr>
            <w:tcW w:w="712" w:type="dxa"/>
            <w:tcBorders>
              <w:top w:val="single" w:color="000000" w:sz="4" w:space="0"/>
              <w:left w:val="single" w:color="auto" w:sz="4" w:space="0"/>
              <w:right w:val="single" w:color="000000" w:sz="4" w:space="0"/>
            </w:tcBorders>
            <w:vAlign w:val="center"/>
          </w:tcPr>
          <w:p>
            <w:pPr>
              <w:autoSpaceDE/>
              <w:autoSpaceDN/>
              <w:adjustRightInd/>
              <w:spacing w:line="288" w:lineRule="auto"/>
              <w:jc w:val="center"/>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4" w:hRule="atLeast"/>
          <w:jc w:val="center"/>
        </w:trPr>
        <w:tc>
          <w:tcPr>
            <w:tcW w:w="583" w:type="dxa"/>
            <w:tcBorders>
              <w:left w:val="single" w:color="000000" w:sz="4" w:space="0"/>
              <w:bottom w:val="single" w:color="000000" w:sz="4" w:space="0"/>
              <w:right w:val="single" w:color="000000" w:sz="4" w:space="0"/>
            </w:tcBorders>
            <w:vAlign w:val="center"/>
          </w:tcPr>
          <w:p>
            <w:pPr>
              <w:autoSpaceDE/>
              <w:autoSpaceDN/>
              <w:adjustRightInd/>
              <w:spacing w:line="288" w:lineRule="auto"/>
              <w:jc w:val="center"/>
              <w:rPr>
                <w:color w:val="auto"/>
                <w:highlight w:val="none"/>
              </w:rPr>
            </w:pPr>
            <w:r>
              <w:rPr>
                <w:rFonts w:hint="eastAsia" w:ascii="宋体" w:hAnsi="宋体" w:cs="宋体"/>
                <w:b/>
                <w:bCs/>
                <w:color w:val="000000" w:themeColor="text1"/>
                <w:sz w:val="21"/>
                <w:szCs w:val="21"/>
                <w:highlight w:val="none"/>
                <w:lang w:val="en-US" w:eastAsia="zh-CN"/>
                <w14:textFill>
                  <w14:solidFill>
                    <w14:schemeClr w14:val="tx1"/>
                  </w14:solidFill>
                </w14:textFill>
              </w:rPr>
              <w:t>5</w:t>
            </w:r>
          </w:p>
        </w:tc>
        <w:tc>
          <w:tcPr>
            <w:tcW w:w="887" w:type="dxa"/>
            <w:tcBorders>
              <w:left w:val="nil"/>
              <w:bottom w:val="single" w:color="000000" w:sz="4" w:space="0"/>
              <w:right w:val="single" w:color="000000" w:sz="4" w:space="0"/>
            </w:tcBorders>
            <w:vAlign w:val="center"/>
          </w:tcPr>
          <w:p>
            <w:pPr>
              <w:autoSpaceDE/>
              <w:autoSpaceDN/>
              <w:adjustRightInd/>
              <w:spacing w:line="288" w:lineRule="auto"/>
              <w:jc w:val="center"/>
              <w:rPr>
                <w:color w:val="auto"/>
                <w:highlight w:val="none"/>
              </w:rPr>
            </w:pPr>
            <w:r>
              <w:rPr>
                <w:rFonts w:hint="eastAsia" w:ascii="宋体" w:hAnsi="宋体" w:cs="宋体"/>
                <w:snapToGrid w:val="0"/>
                <w:color w:val="000000" w:themeColor="text1"/>
                <w:sz w:val="21"/>
                <w:szCs w:val="21"/>
                <w:highlight w:val="none"/>
                <w14:textFill>
                  <w14:solidFill>
                    <w14:schemeClr w14:val="tx1"/>
                  </w14:solidFill>
                </w14:textFill>
              </w:rPr>
              <w:t>财务状况</w:t>
            </w:r>
          </w:p>
        </w:tc>
        <w:tc>
          <w:tcPr>
            <w:tcW w:w="6496" w:type="dxa"/>
            <w:tcBorders>
              <w:top w:val="single" w:color="000000" w:sz="4" w:space="0"/>
              <w:left w:val="nil"/>
              <w:bottom w:val="single" w:color="000000" w:sz="4" w:space="0"/>
              <w:right w:val="single" w:color="auto" w:sz="4" w:space="0"/>
            </w:tcBorders>
            <w:vAlign w:val="center"/>
          </w:tcPr>
          <w:p>
            <w:pPr>
              <w:pageBreakBefore w:val="0"/>
              <w:wordWrap/>
              <w:overflowPunct/>
              <w:topLinePunct w:val="0"/>
              <w:bidi w:val="0"/>
              <w:spacing w:line="360" w:lineRule="exact"/>
              <w:jc w:val="both"/>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投标人近三年（202</w:t>
            </w:r>
            <w:r>
              <w:rPr>
                <w:rFonts w:hint="eastAsia" w:ascii="宋体" w:hAnsi="宋体"/>
                <w:color w:val="000000" w:themeColor="text1"/>
                <w:sz w:val="21"/>
                <w:szCs w:val="21"/>
                <w:highlight w:val="none"/>
                <w:lang w:val="en-US" w:eastAsia="zh-CN"/>
                <w14:textFill>
                  <w14:solidFill>
                    <w14:schemeClr w14:val="tx1"/>
                  </w14:solidFill>
                </w14:textFill>
              </w:rPr>
              <w:t>1</w:t>
            </w:r>
            <w:r>
              <w:rPr>
                <w:rFonts w:hint="eastAsia" w:ascii="宋体" w:hAnsi="宋体"/>
                <w:color w:val="000000" w:themeColor="text1"/>
                <w:sz w:val="21"/>
                <w:szCs w:val="21"/>
                <w:highlight w:val="none"/>
                <w14:textFill>
                  <w14:solidFill>
                    <w14:schemeClr w14:val="tx1"/>
                  </w14:solidFill>
                </w14:textFill>
              </w:rPr>
              <w:t>年至202</w:t>
            </w:r>
            <w:r>
              <w:rPr>
                <w:rFonts w:hint="eastAsia" w:ascii="宋体" w:hAnsi="宋体"/>
                <w:color w:val="000000" w:themeColor="text1"/>
                <w:sz w:val="21"/>
                <w:szCs w:val="21"/>
                <w:highlight w:val="none"/>
                <w:lang w:val="en-US" w:eastAsia="zh-CN"/>
                <w14:textFill>
                  <w14:solidFill>
                    <w14:schemeClr w14:val="tx1"/>
                  </w14:solidFill>
                </w14:textFill>
              </w:rPr>
              <w:t>3</w:t>
            </w:r>
            <w:r>
              <w:rPr>
                <w:rFonts w:hint="eastAsia" w:ascii="宋体" w:hAnsi="宋体"/>
                <w:color w:val="000000" w:themeColor="text1"/>
                <w:sz w:val="21"/>
                <w:szCs w:val="21"/>
                <w:highlight w:val="none"/>
                <w14:textFill>
                  <w14:solidFill>
                    <w14:schemeClr w14:val="tx1"/>
                  </w14:solidFill>
                </w14:textFill>
              </w:rPr>
              <w:t>年）的企业负债率平均值在65％以下的，得1.</w:t>
            </w:r>
            <w:r>
              <w:rPr>
                <w:rFonts w:hint="eastAsia" w:ascii="宋体" w:hAnsi="宋体"/>
                <w:color w:val="000000" w:themeColor="text1"/>
                <w:sz w:val="21"/>
                <w:szCs w:val="21"/>
                <w:highlight w:val="none"/>
                <w:lang w:val="en-US" w:eastAsia="zh-CN"/>
                <w14:textFill>
                  <w14:solidFill>
                    <w14:schemeClr w14:val="tx1"/>
                  </w14:solidFill>
                </w14:textFill>
              </w:rPr>
              <w:t>5</w:t>
            </w:r>
            <w:r>
              <w:rPr>
                <w:rFonts w:hint="eastAsia" w:ascii="宋体" w:hAnsi="宋体"/>
                <w:color w:val="000000" w:themeColor="text1"/>
                <w:sz w:val="21"/>
                <w:szCs w:val="21"/>
                <w:highlight w:val="none"/>
                <w14:textFill>
                  <w14:solidFill>
                    <w14:schemeClr w14:val="tx1"/>
                  </w14:solidFill>
                </w14:textFill>
              </w:rPr>
              <w:t>分；企业负债率平均值在65％-70％的，得</w:t>
            </w:r>
            <w:r>
              <w:rPr>
                <w:rFonts w:hint="eastAsia" w:ascii="宋体" w:hAnsi="宋体"/>
                <w:color w:val="000000" w:themeColor="text1"/>
                <w:sz w:val="21"/>
                <w:szCs w:val="21"/>
                <w:highlight w:val="none"/>
                <w:lang w:val="en-US" w:eastAsia="zh-CN"/>
                <w14:textFill>
                  <w14:solidFill>
                    <w14:schemeClr w14:val="tx1"/>
                  </w14:solidFill>
                </w14:textFill>
              </w:rPr>
              <w:t>1</w:t>
            </w:r>
            <w:r>
              <w:rPr>
                <w:rFonts w:hint="eastAsia" w:ascii="宋体" w:hAnsi="宋体"/>
                <w:color w:val="000000" w:themeColor="text1"/>
                <w:sz w:val="21"/>
                <w:szCs w:val="21"/>
                <w:highlight w:val="none"/>
                <w14:textFill>
                  <w14:solidFill>
                    <w14:schemeClr w14:val="tx1"/>
                  </w14:solidFill>
                </w14:textFill>
              </w:rPr>
              <w:t>分；企业负债率平均值在70％以上的不得分。</w:t>
            </w:r>
          </w:p>
          <w:p>
            <w:pPr>
              <w:pageBreakBefore w:val="0"/>
              <w:wordWrap/>
              <w:overflowPunct/>
              <w:topLinePunct w:val="0"/>
              <w:bidi w:val="0"/>
              <w:spacing w:line="360" w:lineRule="exact"/>
              <w:jc w:val="both"/>
              <w:textAlignment w:val="auto"/>
              <w:rPr>
                <w:rFonts w:hint="eastAsia"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注：</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①</w:t>
            </w:r>
            <w:r>
              <w:rPr>
                <w:rFonts w:hint="eastAsia" w:ascii="宋体" w:hAnsi="宋体"/>
                <w:b/>
                <w:bCs/>
                <w:color w:val="000000" w:themeColor="text1"/>
                <w:sz w:val="21"/>
                <w:szCs w:val="21"/>
                <w:highlight w:val="none"/>
                <w14:textFill>
                  <w14:solidFill>
                    <w14:schemeClr w14:val="tx1"/>
                  </w14:solidFill>
                </w14:textFill>
              </w:rPr>
              <w:t>如联合体投标的，则为联合体任意一方；</w:t>
            </w:r>
          </w:p>
          <w:p>
            <w:pPr>
              <w:pageBreakBefore w:val="0"/>
              <w:wordWrap/>
              <w:overflowPunct/>
              <w:topLinePunct w:val="0"/>
              <w:autoSpaceDE/>
              <w:autoSpaceDN/>
              <w:bidi w:val="0"/>
              <w:adjustRightInd/>
              <w:spacing w:line="360" w:lineRule="exact"/>
              <w:textAlignment w:val="auto"/>
              <w:rPr>
                <w:rFonts w:hint="eastAsia" w:eastAsia="宋体"/>
                <w:color w:val="auto"/>
                <w:sz w:val="21"/>
                <w:szCs w:val="21"/>
                <w:highlight w:val="none"/>
                <w:lang w:val="en-US" w:eastAsia="zh-CN"/>
              </w:rPr>
            </w:pPr>
            <w:r>
              <w:rPr>
                <w:rFonts w:hint="eastAsia" w:ascii="宋体" w:hAnsi="宋体" w:cs="宋体"/>
                <w:bCs/>
                <w:color w:val="000000" w:themeColor="text1"/>
                <w:sz w:val="21"/>
                <w:szCs w:val="21"/>
                <w:highlight w:val="none"/>
                <w:lang w:val="en-US" w:eastAsia="zh-CN"/>
                <w14:textFill>
                  <w14:solidFill>
                    <w14:schemeClr w14:val="tx1"/>
                  </w14:solidFill>
                </w14:textFill>
              </w:rPr>
              <w:t>②</w:t>
            </w:r>
            <w:r>
              <w:rPr>
                <w:rFonts w:hint="eastAsia" w:ascii="宋体" w:hAnsi="宋体"/>
                <w:b/>
                <w:bCs/>
                <w:color w:val="000000" w:themeColor="text1"/>
                <w:sz w:val="21"/>
                <w:szCs w:val="21"/>
                <w:highlight w:val="none"/>
                <w14:textFill>
                  <w14:solidFill>
                    <w14:schemeClr w14:val="tx1"/>
                  </w14:solidFill>
                </w14:textFill>
              </w:rPr>
              <w:t>提供的财务审计报告须有审计单位盖章和注册会计师签字盖章，并且提供审计单位的营业执照、资质证书及注册会计师证书原件扫描件或扫描件并加盖投标单位电子印章。</w:t>
            </w:r>
          </w:p>
        </w:tc>
        <w:tc>
          <w:tcPr>
            <w:tcW w:w="712" w:type="dxa"/>
            <w:tcBorders>
              <w:left w:val="single" w:color="auto" w:sz="4" w:space="0"/>
              <w:bottom w:val="single" w:color="000000" w:sz="4" w:space="0"/>
              <w:right w:val="single" w:color="000000" w:sz="4" w:space="0"/>
            </w:tcBorders>
            <w:vAlign w:val="center"/>
          </w:tcPr>
          <w:p>
            <w:pPr>
              <w:autoSpaceDE/>
              <w:autoSpaceDN/>
              <w:adjustRightInd/>
              <w:spacing w:line="288" w:lineRule="auto"/>
              <w:jc w:val="center"/>
              <w:rPr>
                <w:rFonts w:hint="eastAsia"/>
                <w:color w:val="auto"/>
                <w:sz w:val="21"/>
                <w:szCs w:val="21"/>
                <w:highlight w:val="none"/>
              </w:rPr>
            </w:pPr>
            <w:r>
              <w:rPr>
                <w:rFonts w:hint="eastAsia" w:ascii="宋体" w:hAnsi="宋体" w:cs="宋体"/>
                <w:b/>
                <w:bCs/>
                <w:color w:val="000000" w:themeColor="text1"/>
                <w:sz w:val="21"/>
                <w:szCs w:val="21"/>
                <w:highlight w:val="none"/>
                <w14:textFill>
                  <w14:solidFill>
                    <w14:schemeClr w14:val="tx1"/>
                  </w14:solidFill>
                </w14:textFill>
              </w:rPr>
              <w:t>1</w:t>
            </w:r>
            <w:r>
              <w:rPr>
                <w:rFonts w:hint="eastAsia" w:ascii="宋体" w:hAnsi="宋体" w:cs="宋体"/>
                <w:b/>
                <w:bCs/>
                <w:color w:val="000000" w:themeColor="text1"/>
                <w:sz w:val="21"/>
                <w:szCs w:val="21"/>
                <w:highlight w:val="none"/>
                <w:lang w:eastAsia="zh-CN"/>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5</w:t>
            </w:r>
          </w:p>
        </w:tc>
      </w:tr>
    </w:tbl>
    <w:p>
      <w:pPr>
        <w:pStyle w:val="31"/>
        <w:ind w:firstLine="422" w:firstLineChars="200"/>
        <w:jc w:val="left"/>
        <w:rPr>
          <w:rFonts w:ascii="宋体" w:hAnsi="宋体" w:cs="宋体"/>
          <w:b/>
          <w:bCs/>
          <w:color w:val="auto"/>
          <w:kern w:val="0"/>
          <w:highlight w:val="none"/>
        </w:rPr>
      </w:pPr>
      <w:r>
        <w:rPr>
          <w:rFonts w:hint="eastAsia" w:ascii="宋体" w:hAnsi="宋体" w:cs="宋体"/>
          <w:b/>
          <w:bCs/>
          <w:color w:val="auto"/>
          <w:kern w:val="0"/>
          <w:highlight w:val="none"/>
        </w:rPr>
        <w:t>2、 信用分（5分）</w:t>
      </w:r>
    </w:p>
    <w:p>
      <w:pPr>
        <w:pStyle w:val="31"/>
        <w:ind w:firstLine="420" w:firstLineChars="200"/>
        <w:jc w:val="left"/>
        <w:rPr>
          <w:rFonts w:hint="eastAsia" w:ascii="宋体" w:hAnsi="宋体" w:cs="宋体"/>
          <w:color w:val="auto"/>
          <w:kern w:val="0"/>
          <w:highlight w:val="none"/>
        </w:rPr>
      </w:pPr>
      <w:r>
        <w:rPr>
          <w:rFonts w:hint="eastAsia" w:ascii="宋体" w:hAnsi="宋体" w:cs="宋体"/>
          <w:color w:val="auto"/>
          <w:kern w:val="0"/>
          <w:highlight w:val="none"/>
        </w:rPr>
        <w:t>信用评价根据投标截止之日绍兴智慧建设平台上最近一期公布的（建筑工程专业）的施工总承包企业按规定的信用等级进行计取，无信用等级的不计分。信用分按信用等级计算。如联合体投标的，以联合体牵头人的信用等级计取信用</w:t>
      </w:r>
      <w:r>
        <w:rPr>
          <w:rFonts w:hint="eastAsia" w:ascii="宋体" w:hAnsi="宋体" w:cs="宋体"/>
          <w:color w:val="auto"/>
          <w:kern w:val="0"/>
          <w:highlight w:val="none"/>
          <w:lang w:val="en-US" w:eastAsia="zh-CN"/>
        </w:rPr>
        <w:t>得</w:t>
      </w:r>
      <w:r>
        <w:rPr>
          <w:rFonts w:hint="eastAsia" w:ascii="宋体" w:hAnsi="宋体" w:cs="宋体"/>
          <w:color w:val="auto"/>
          <w:kern w:val="0"/>
          <w:highlight w:val="none"/>
        </w:rPr>
        <w:t>分。</w:t>
      </w:r>
    </w:p>
    <w:tbl>
      <w:tblPr>
        <w:tblStyle w:val="18"/>
        <w:tblpPr w:leftFromText="180" w:rightFromText="180" w:vertAnchor="text" w:horzAnchor="page" w:tblpX="1586" w:tblpY="9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2840"/>
        <w:gridCol w:w="1275"/>
        <w:gridCol w:w="1478"/>
        <w:gridCol w:w="1128"/>
        <w:gridCol w:w="1128"/>
        <w:gridCol w:w="13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50" w:hRule="atLeast"/>
        </w:trPr>
        <w:tc>
          <w:tcPr>
            <w:tcW w:w="2840"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信用等级</w:t>
            </w:r>
          </w:p>
        </w:tc>
        <w:tc>
          <w:tcPr>
            <w:tcW w:w="1275"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A</w:t>
            </w:r>
          </w:p>
        </w:tc>
        <w:tc>
          <w:tcPr>
            <w:tcW w:w="147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B</w:t>
            </w:r>
          </w:p>
        </w:tc>
        <w:tc>
          <w:tcPr>
            <w:tcW w:w="112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C</w:t>
            </w:r>
          </w:p>
        </w:tc>
        <w:tc>
          <w:tcPr>
            <w:tcW w:w="112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D</w:t>
            </w:r>
          </w:p>
        </w:tc>
        <w:tc>
          <w:tcPr>
            <w:tcW w:w="132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58" w:hRule="atLeast"/>
        </w:trPr>
        <w:tc>
          <w:tcPr>
            <w:tcW w:w="2840"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信用得分</w:t>
            </w:r>
          </w:p>
        </w:tc>
        <w:tc>
          <w:tcPr>
            <w:tcW w:w="1275"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147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112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2.75</w:t>
            </w:r>
          </w:p>
        </w:tc>
        <w:tc>
          <w:tcPr>
            <w:tcW w:w="112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328" w:type="dxa"/>
            <w:noWrap w:val="0"/>
            <w:tcMar>
              <w:top w:w="0" w:type="dxa"/>
              <w:left w:w="105" w:type="dxa"/>
              <w:bottom w:w="0" w:type="dxa"/>
              <w:right w:w="105" w:type="dxa"/>
            </w:tcMar>
            <w:vAlign w:val="center"/>
          </w:tcPr>
          <w:p>
            <w:pPr>
              <w:widowControl/>
              <w:autoSpaceDE/>
              <w:autoSpaceDN/>
              <w:adjustRightInd/>
              <w:snapToGrid w:val="0"/>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0</w:t>
            </w:r>
          </w:p>
        </w:tc>
      </w:tr>
    </w:tbl>
    <w:p>
      <w:pPr>
        <w:pStyle w:val="22"/>
        <w:snapToGrid w:val="0"/>
        <w:spacing w:line="288" w:lineRule="auto"/>
        <w:ind w:firstLine="422" w:firstLineChars="200"/>
        <w:rPr>
          <w:rFonts w:ascii="宋体" w:hAnsi="宋体"/>
          <w:b/>
          <w:color w:val="auto"/>
          <w:sz w:val="21"/>
          <w:szCs w:val="21"/>
          <w:highlight w:val="none"/>
        </w:rPr>
      </w:pPr>
    </w:p>
    <w:p>
      <w:pPr>
        <w:pStyle w:val="22"/>
        <w:snapToGrid w:val="0"/>
        <w:spacing w:line="288" w:lineRule="auto"/>
        <w:ind w:left="480" w:leftChars="200"/>
        <w:rPr>
          <w:rFonts w:ascii="宋体" w:hAnsi="宋体"/>
          <w:b/>
          <w:color w:val="auto"/>
          <w:sz w:val="21"/>
          <w:szCs w:val="21"/>
          <w:highlight w:val="none"/>
        </w:rPr>
      </w:pPr>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五</w:t>
      </w:r>
      <w:r>
        <w:rPr>
          <w:rFonts w:hint="eastAsia" w:ascii="宋体" w:hAnsi="宋体"/>
          <w:b/>
          <w:color w:val="auto"/>
          <w:sz w:val="21"/>
          <w:szCs w:val="21"/>
          <w:highlight w:val="none"/>
          <w:lang w:eastAsia="zh-CN"/>
        </w:rPr>
        <w:t>）</w:t>
      </w:r>
      <w:r>
        <w:rPr>
          <w:rFonts w:hint="eastAsia" w:ascii="宋体" w:hAnsi="宋体"/>
          <w:b/>
          <w:color w:val="auto"/>
          <w:sz w:val="21"/>
          <w:szCs w:val="21"/>
          <w:highlight w:val="none"/>
        </w:rPr>
        <w:t>商务标评审</w:t>
      </w:r>
    </w:p>
    <w:p>
      <w:pPr>
        <w:snapToGrid w:val="0"/>
        <w:spacing w:line="288" w:lineRule="auto"/>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商务标评审是对投标文件中工程量清单的范围、数量、报价进行全面审核和对比分析。投标人存在投标须知前附表</w:t>
      </w:r>
      <w:r>
        <w:rPr>
          <w:rFonts w:hint="eastAsia"/>
          <w:color w:val="auto"/>
          <w:sz w:val="21"/>
          <w:szCs w:val="21"/>
          <w:highlight w:val="none"/>
        </w:rPr>
        <w:t>10.5</w:t>
      </w:r>
      <w:r>
        <w:rPr>
          <w:rFonts w:hint="eastAsia" w:ascii="宋体" w:hAnsi="宋体"/>
          <w:color w:val="auto"/>
          <w:sz w:val="21"/>
          <w:szCs w:val="21"/>
          <w:highlight w:val="none"/>
        </w:rPr>
        <w:t>情形之一的，评标委员会组织投标人询问核实后，情况属实的，商务标评审不予通过，否决其投标。</w:t>
      </w:r>
    </w:p>
    <w:p>
      <w:pPr>
        <w:snapToGrid w:val="0"/>
        <w:spacing w:line="288" w:lineRule="auto"/>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商务标评分</w:t>
      </w:r>
      <w:r>
        <w:rPr>
          <w:rFonts w:hint="eastAsia" w:ascii="宋体" w:hAnsi="宋体"/>
          <w:b/>
          <w:color w:val="auto"/>
          <w:sz w:val="21"/>
          <w:szCs w:val="21"/>
          <w:highlight w:val="none"/>
        </w:rPr>
        <w:t>（</w:t>
      </w:r>
      <w:r>
        <w:rPr>
          <w:rFonts w:hint="eastAsia" w:ascii="宋体" w:hAnsi="宋体"/>
          <w:b/>
          <w:color w:val="auto"/>
          <w:sz w:val="21"/>
          <w:szCs w:val="21"/>
          <w:highlight w:val="none"/>
          <w:lang w:val="en-US" w:eastAsia="zh-CN"/>
        </w:rPr>
        <w:t>6</w:t>
      </w:r>
      <w:r>
        <w:rPr>
          <w:rFonts w:hint="eastAsia" w:ascii="宋体" w:hAnsi="宋体"/>
          <w:b/>
          <w:color w:val="auto"/>
          <w:sz w:val="21"/>
          <w:szCs w:val="21"/>
          <w:highlight w:val="none"/>
        </w:rPr>
        <w:t>0分）</w:t>
      </w:r>
    </w:p>
    <w:p>
      <w:pPr>
        <w:snapToGrid w:val="0"/>
        <w:spacing w:line="288" w:lineRule="auto"/>
        <w:ind w:firstLine="420" w:firstLineChars="200"/>
        <w:rPr>
          <w:rFonts w:ascii="宋体" w:hAnsi="宋体"/>
          <w:color w:val="auto"/>
          <w:sz w:val="21"/>
          <w:szCs w:val="21"/>
          <w:highlight w:val="none"/>
        </w:rPr>
      </w:pPr>
      <w:r>
        <w:rPr>
          <w:rFonts w:hint="eastAsia" w:ascii="宋体" w:hAnsi="宋体"/>
          <w:iCs/>
          <w:color w:val="auto"/>
          <w:sz w:val="21"/>
          <w:szCs w:val="21"/>
          <w:highlight w:val="none"/>
        </w:rPr>
        <w:t>投标报价等于评标基准价时，商务评分为满分；投标报价每高于评标基准价1%扣2A分；每低于评标基准价1%扣A分（A= 1）。不足一个百分点时，使用直线插入法计算，结果四舍五入保留两位小数</w:t>
      </w:r>
      <w:r>
        <w:rPr>
          <w:rFonts w:hint="eastAsia" w:ascii="宋体" w:hAnsi="宋体"/>
          <w:color w:val="auto"/>
          <w:sz w:val="21"/>
          <w:szCs w:val="21"/>
          <w:highlight w:val="none"/>
        </w:rPr>
        <w:t>。</w:t>
      </w:r>
    </w:p>
    <w:p>
      <w:pPr>
        <w:snapToGrid w:val="0"/>
        <w:spacing w:line="288" w:lineRule="auto"/>
        <w:ind w:firstLine="420" w:firstLineChars="200"/>
        <w:rPr>
          <w:rFonts w:ascii="宋体" w:hAnsi="宋体"/>
          <w:color w:val="auto"/>
          <w:sz w:val="21"/>
          <w:szCs w:val="21"/>
          <w:highlight w:val="none"/>
          <w:vertAlign w:val="subscript"/>
        </w:rPr>
      </w:pPr>
      <w:r>
        <w:rPr>
          <w:rFonts w:hint="eastAsia" w:ascii="宋体" w:hAnsi="宋体"/>
          <w:color w:val="auto"/>
          <w:sz w:val="21"/>
          <w:szCs w:val="21"/>
          <w:highlight w:val="none"/>
        </w:rPr>
        <w:t>评标基准价D1＝Ｋ</w:t>
      </w:r>
      <w:r>
        <w:rPr>
          <w:rFonts w:hint="eastAsia" w:ascii="宋体" w:hAnsi="宋体"/>
          <w:color w:val="auto"/>
          <w:sz w:val="21"/>
          <w:szCs w:val="21"/>
          <w:highlight w:val="none"/>
          <w:vertAlign w:val="subscript"/>
        </w:rPr>
        <w:t>１</w:t>
      </w:r>
      <w:r>
        <w:rPr>
          <w:rFonts w:hint="eastAsia" w:ascii="宋体" w:hAnsi="宋体"/>
          <w:color w:val="auto"/>
          <w:sz w:val="21"/>
          <w:szCs w:val="21"/>
          <w:highlight w:val="none"/>
        </w:rPr>
        <w:t>*Ａ+（１-Ｋ</w:t>
      </w:r>
      <w:r>
        <w:rPr>
          <w:rFonts w:hint="eastAsia" w:ascii="宋体" w:hAnsi="宋体"/>
          <w:color w:val="auto"/>
          <w:sz w:val="21"/>
          <w:szCs w:val="21"/>
          <w:highlight w:val="none"/>
          <w:vertAlign w:val="subscript"/>
        </w:rPr>
        <w:t>１</w:t>
      </w:r>
      <w:r>
        <w:rPr>
          <w:rFonts w:hint="eastAsia" w:ascii="宋体" w:hAnsi="宋体"/>
          <w:color w:val="auto"/>
          <w:sz w:val="21"/>
          <w:szCs w:val="21"/>
          <w:highlight w:val="none"/>
        </w:rPr>
        <w:t>）*Ｂ*Ｋ</w:t>
      </w:r>
      <w:r>
        <w:rPr>
          <w:rFonts w:hint="eastAsia" w:ascii="宋体" w:hAnsi="宋体"/>
          <w:color w:val="auto"/>
          <w:sz w:val="21"/>
          <w:szCs w:val="21"/>
          <w:highlight w:val="none"/>
          <w:vertAlign w:val="subscript"/>
        </w:rPr>
        <w:t>２</w:t>
      </w:r>
    </w:p>
    <w:p>
      <w:pPr>
        <w:snapToGrid w:val="0"/>
        <w:spacing w:line="288" w:lineRule="auto"/>
        <w:ind w:firstLine="420" w:firstLineChars="200"/>
        <w:rPr>
          <w:color w:val="auto"/>
          <w:sz w:val="21"/>
          <w:szCs w:val="21"/>
          <w:highlight w:val="none"/>
        </w:rPr>
      </w:pPr>
      <w:r>
        <w:rPr>
          <w:rFonts w:hint="eastAsia"/>
          <w:color w:val="auto"/>
          <w:sz w:val="21"/>
          <w:szCs w:val="21"/>
          <w:highlight w:val="none"/>
        </w:rPr>
        <w:t>Ｋ</w:t>
      </w:r>
      <w:r>
        <w:rPr>
          <w:rFonts w:hint="eastAsia"/>
          <w:color w:val="auto"/>
          <w:sz w:val="21"/>
          <w:szCs w:val="21"/>
          <w:highlight w:val="none"/>
          <w:vertAlign w:val="subscript"/>
        </w:rPr>
        <w:t>１</w:t>
      </w:r>
      <w:r>
        <w:rPr>
          <w:rFonts w:hint="eastAsia"/>
          <w:color w:val="auto"/>
          <w:sz w:val="21"/>
          <w:szCs w:val="21"/>
          <w:highlight w:val="none"/>
        </w:rPr>
        <w:t>（权重系数），由招标人在开标现场随机抽取确定，抽取值范围为</w:t>
      </w:r>
      <w:r>
        <w:rPr>
          <w:rFonts w:hint="eastAsia" w:ascii="宋体" w:hAnsi="宋体"/>
          <w:b/>
          <w:bCs/>
          <w:color w:val="auto"/>
          <w:sz w:val="21"/>
          <w:szCs w:val="21"/>
          <w:highlight w:val="none"/>
          <w:u w:val="single"/>
        </w:rPr>
        <w:t xml:space="preserve">0.4、0.45、0.5、0.55、0.6  </w:t>
      </w:r>
      <w:r>
        <w:rPr>
          <w:rFonts w:hint="eastAsia"/>
          <w:color w:val="auto"/>
          <w:sz w:val="21"/>
          <w:szCs w:val="21"/>
          <w:highlight w:val="none"/>
        </w:rPr>
        <w:t>（在0.4～0.6，确定均匀分布，数量不少于５个的抽取值）；</w:t>
      </w:r>
    </w:p>
    <w:p>
      <w:pPr>
        <w:snapToGrid w:val="0"/>
        <w:spacing w:line="288" w:lineRule="auto"/>
        <w:ind w:firstLine="420" w:firstLineChars="200"/>
        <w:rPr>
          <w:color w:val="auto"/>
          <w:sz w:val="21"/>
          <w:szCs w:val="21"/>
          <w:highlight w:val="none"/>
        </w:rPr>
      </w:pPr>
      <w:r>
        <w:rPr>
          <w:rFonts w:hint="eastAsia"/>
          <w:color w:val="auto"/>
          <w:sz w:val="21"/>
          <w:szCs w:val="21"/>
          <w:highlight w:val="none"/>
        </w:rPr>
        <w:t>Ａ（投标报价算术平均值）：有效投标数量≤15家时，对所有有效投标报价进行算术平均；有效投标数量&gt;15家时，在有效投标报价中，去除报价最高和最低各20％个（按有效投标人投标人数量为基数；不为整数的，按四舍五入取整）后进行算术平均；有效投标数量≤15家时，则不去除报价最高和最低部分。</w:t>
      </w:r>
    </w:p>
    <w:p>
      <w:pPr>
        <w:snapToGrid w:val="0"/>
        <w:spacing w:line="288" w:lineRule="auto"/>
        <w:ind w:firstLine="420" w:firstLineChars="200"/>
        <w:rPr>
          <w:rFonts w:ascii="宋体" w:hAnsi="宋体"/>
          <w:color w:val="auto"/>
          <w:sz w:val="21"/>
          <w:szCs w:val="21"/>
          <w:highlight w:val="none"/>
        </w:rPr>
      </w:pPr>
      <w:r>
        <w:rPr>
          <w:rFonts w:hint="eastAsia"/>
          <w:color w:val="auto"/>
          <w:sz w:val="21"/>
          <w:szCs w:val="21"/>
          <w:highlight w:val="none"/>
        </w:rPr>
        <w:t>Ｂ＝最高投标限价。</w:t>
      </w:r>
    </w:p>
    <w:p>
      <w:pPr>
        <w:widowControl/>
        <w:autoSpaceDN/>
        <w:snapToGrid w:val="0"/>
        <w:spacing w:line="288" w:lineRule="auto"/>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Ｋ</w:t>
      </w:r>
      <w:r>
        <w:rPr>
          <w:rFonts w:hint="eastAsia" w:ascii="宋体" w:hAnsi="宋体"/>
          <w:color w:val="auto"/>
          <w:sz w:val="21"/>
          <w:szCs w:val="21"/>
          <w:highlight w:val="none"/>
          <w:vertAlign w:val="subscript"/>
        </w:rPr>
        <w:t>２</w:t>
      </w:r>
      <w:r>
        <w:rPr>
          <w:rFonts w:hint="eastAsia" w:ascii="宋体" w:hAnsi="宋体"/>
          <w:color w:val="auto"/>
          <w:sz w:val="21"/>
          <w:szCs w:val="21"/>
          <w:highlight w:val="none"/>
        </w:rPr>
        <w:t>（平均浮动系数），抽取值范围为：</w:t>
      </w:r>
      <w:r>
        <w:rPr>
          <w:rFonts w:hint="eastAsia" w:ascii="宋体" w:hAnsi="宋体"/>
          <w:color w:val="auto"/>
          <w:sz w:val="21"/>
          <w:szCs w:val="21"/>
          <w:highlight w:val="none"/>
          <w:u w:val="single"/>
        </w:rPr>
        <w:t xml:space="preserve">  </w:t>
      </w:r>
      <w:r>
        <w:rPr>
          <w:rFonts w:hint="eastAsia" w:ascii="宋体" w:hAnsi="宋体"/>
          <w:b/>
          <w:bCs/>
          <w:iCs/>
          <w:color w:val="auto"/>
          <w:sz w:val="21"/>
          <w:szCs w:val="21"/>
          <w:highlight w:val="none"/>
          <w:u w:val="single"/>
        </w:rPr>
        <w:t>85%，86%，87%，88%，89%，90%，91%，92%，93%，94%，95%）</w:t>
      </w:r>
      <w:r>
        <w:rPr>
          <w:rFonts w:hint="eastAsia" w:ascii="宋体" w:hAnsi="宋体"/>
          <w:b/>
          <w:bCs/>
          <w:color w:val="auto"/>
          <w:sz w:val="21"/>
          <w:szCs w:val="21"/>
          <w:highlight w:val="none"/>
          <w:u w:val="single"/>
        </w:rPr>
        <w:t>，步长</w:t>
      </w:r>
      <w:r>
        <w:rPr>
          <w:rFonts w:hint="eastAsia" w:ascii="宋体" w:hAnsi="宋体"/>
          <w:b/>
          <w:bCs/>
          <w:color w:val="auto"/>
          <w:sz w:val="21"/>
          <w:szCs w:val="21"/>
          <w:highlight w:val="none"/>
          <w:u w:val="single"/>
          <w:lang w:val="en-US" w:eastAsia="zh-CN"/>
        </w:rPr>
        <w:t>1</w:t>
      </w:r>
      <w:r>
        <w:rPr>
          <w:rFonts w:hint="eastAsia" w:ascii="宋体" w:hAnsi="宋体"/>
          <w:b/>
          <w:bCs/>
          <w:color w:val="auto"/>
          <w:sz w:val="21"/>
          <w:szCs w:val="21"/>
          <w:highlight w:val="none"/>
          <w:u w:val="single"/>
        </w:rPr>
        <w:t>%</w:t>
      </w:r>
      <w:r>
        <w:rPr>
          <w:rFonts w:hint="eastAsia" w:ascii="宋体" w:hAnsi="宋体"/>
          <w:color w:val="auto"/>
          <w:sz w:val="21"/>
          <w:szCs w:val="21"/>
          <w:highlight w:val="none"/>
          <w:u w:val="single"/>
        </w:rPr>
        <w:t xml:space="preserve"> </w:t>
      </w:r>
      <w:r>
        <w:rPr>
          <w:rFonts w:hint="eastAsia" w:ascii="宋体" w:hAnsi="宋体"/>
          <w:b/>
          <w:bCs/>
          <w:color w:val="auto"/>
          <w:sz w:val="21"/>
          <w:szCs w:val="21"/>
          <w:highlight w:val="none"/>
          <w:u w:val="single"/>
        </w:rPr>
        <w:t xml:space="preserve">，共设 </w:t>
      </w:r>
      <w:r>
        <w:rPr>
          <w:rFonts w:hint="eastAsia" w:ascii="宋体" w:hAnsi="宋体"/>
          <w:b/>
          <w:bCs/>
          <w:color w:val="auto"/>
          <w:sz w:val="21"/>
          <w:szCs w:val="21"/>
          <w:highlight w:val="none"/>
          <w:u w:val="single"/>
          <w:lang w:val="en-US" w:eastAsia="zh-CN"/>
        </w:rPr>
        <w:t>1</w:t>
      </w:r>
      <w:r>
        <w:rPr>
          <w:rFonts w:hint="eastAsia" w:ascii="宋体" w:hAnsi="宋体"/>
          <w:b/>
          <w:bCs/>
          <w:color w:val="auto"/>
          <w:sz w:val="21"/>
          <w:szCs w:val="21"/>
          <w:highlight w:val="none"/>
          <w:u w:val="single"/>
        </w:rPr>
        <w:t>1 个数值</w:t>
      </w:r>
      <w:r>
        <w:rPr>
          <w:rFonts w:hint="eastAsia" w:ascii="宋体" w:hAnsi="宋体"/>
          <w:color w:val="auto"/>
          <w:sz w:val="21"/>
          <w:szCs w:val="21"/>
          <w:highlight w:val="none"/>
        </w:rPr>
        <w:t>，由招标人在开标会现场随机抽取确定。</w:t>
      </w:r>
    </w:p>
    <w:p>
      <w:pPr>
        <w:snapToGrid w:val="0"/>
        <w:spacing w:line="288"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0"/>
        </w:numPr>
        <w:snapToGrid w:val="0"/>
        <w:spacing w:line="288"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六</w:t>
      </w:r>
      <w:r>
        <w:rPr>
          <w:rFonts w:hint="eastAsia" w:ascii="宋体" w:hAnsi="宋体"/>
          <w:b/>
          <w:color w:val="auto"/>
          <w:sz w:val="21"/>
          <w:szCs w:val="21"/>
          <w:highlight w:val="none"/>
          <w:lang w:eastAsia="zh-CN"/>
        </w:rPr>
        <w:t>）</w:t>
      </w:r>
      <w:r>
        <w:rPr>
          <w:rFonts w:hint="eastAsia" w:ascii="宋体" w:hAnsi="宋体"/>
          <w:b/>
          <w:color w:val="auto"/>
          <w:sz w:val="21"/>
          <w:szCs w:val="21"/>
          <w:highlight w:val="none"/>
        </w:rPr>
        <w:t>推荐中标候选人</w:t>
      </w:r>
    </w:p>
    <w:p>
      <w:pPr>
        <w:keepNext w:val="0"/>
        <w:keepLines w:val="0"/>
        <w:pageBreakBefore w:val="0"/>
        <w:kinsoku/>
        <w:wordWrap/>
        <w:overflowPunct/>
        <w:topLinePunct w:val="0"/>
        <w:autoSpaceDE w:val="0"/>
        <w:bidi w:val="0"/>
        <w:adjustRightInd w:val="0"/>
        <w:spacing w:line="3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采用技术标打分制的综合评估法评审，当有效投标人数量3家及以上且不足8家时，由评标委员会推荐总得分前3名为中标候选人；当有效投标人数量为8家及以上且不足10家时，由评标委员会推荐总得分前4名为中标候选人；当有效投标人数量为10家及以上时，由评标委员会推荐总得分前5名为中标候选人。如总得分相同的，以投标总报价低的优先，投标总报价仍相同的，以资信标得分高的优先；资信标得分仍相同的,以技术标得分高的优先；上述均相同的由招标人当场抽签确定。若入围的中标候选人公示期间收到质疑，有中标候选人存在影响中标结果的违法行为等情况的，一经查实取消其中标候选人的资格。在原中标候选人除外的投标人中，由评标委员会评定按总分从高到低进行排序，按推荐数量的要求，递补进入定标入围。</w:t>
      </w:r>
    </w:p>
    <w:p>
      <w:pPr>
        <w:keepNext w:val="0"/>
        <w:keepLines w:val="0"/>
        <w:pageBreakBefore w:val="0"/>
        <w:kinsoku/>
        <w:wordWrap/>
        <w:overflowPunct/>
        <w:topLinePunct w:val="0"/>
        <w:autoSpaceDE w:val="0"/>
        <w:bidi w:val="0"/>
        <w:adjustRightInd w:val="0"/>
        <w:spacing w:line="3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招标人对拟确定的推荐中标候选人和其拟派项目负责人，是否列入失信被执行人名单以及在本招标文件（招标公告）规定时间范围内是否有行贿犯罪记录进行查验。如查实存在行贿犯罪记录情况（以行贿罪判决为准）或被列入失信被执行人名单的，则取消其中标候选资格。</w:t>
      </w:r>
    </w:p>
    <w:p>
      <w:pPr>
        <w:keepNext w:val="0"/>
        <w:keepLines w:val="0"/>
        <w:pageBreakBefore w:val="0"/>
        <w:kinsoku/>
        <w:wordWrap/>
        <w:overflowPunct/>
        <w:topLinePunct w:val="0"/>
        <w:autoSpaceDE w:val="0"/>
        <w:bidi w:val="0"/>
        <w:adjustRightInd w:val="0"/>
        <w:spacing w:line="3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当有效投标人＜3个时，评标委员会应判定本次投标是否具有竞争力。若评标委员会认为本次投标明显缺乏竞争的，可以否决全部投标。</w:t>
      </w:r>
    </w:p>
    <w:p>
      <w:pPr>
        <w:pStyle w:val="14"/>
        <w:spacing w:line="460" w:lineRule="exact"/>
        <w:ind w:left="0" w:leftChars="0" w:firstLine="0" w:firstLineChars="0"/>
        <w:rPr>
          <w:rFonts w:hint="eastAsia"/>
          <w:color w:val="auto"/>
          <w:highlight w:val="none"/>
        </w:rPr>
      </w:pPr>
    </w:p>
    <w:p>
      <w:pPr>
        <w:pStyle w:val="14"/>
        <w:spacing w:line="460" w:lineRule="exact"/>
        <w:ind w:left="0" w:leftChars="0" w:firstLine="0" w:firstLineChars="0"/>
        <w:rPr>
          <w:rFonts w:hint="eastAsia"/>
          <w:color w:val="auto"/>
          <w:highlight w:val="none"/>
        </w:rPr>
      </w:pPr>
    </w:p>
    <w:p>
      <w:pPr>
        <w:pStyle w:val="14"/>
        <w:spacing w:line="460" w:lineRule="exact"/>
        <w:ind w:left="0" w:leftChars="0" w:firstLine="0" w:firstLineChars="0"/>
        <w:rPr>
          <w:rFonts w:hint="eastAsia"/>
          <w:color w:val="auto"/>
          <w:highlight w:val="none"/>
        </w:rPr>
      </w:pPr>
    </w:p>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全国各省最高工程质量奖名单</w:t>
      </w:r>
    </w:p>
    <w:p>
      <w:pPr>
        <w:jc w:val="center"/>
        <w:rPr>
          <w:rFonts w:hint="eastAsia" w:ascii="宋体" w:hAnsi="宋体" w:eastAsia="宋体" w:cs="宋体"/>
          <w:color w:val="auto"/>
          <w:sz w:val="21"/>
          <w:szCs w:val="21"/>
          <w:highlight w:val="none"/>
        </w:rPr>
      </w:pPr>
    </w:p>
    <w:tbl>
      <w:tblPr>
        <w:tblStyle w:val="19"/>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4505"/>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序号</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最高质量奖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北京市建筑(竣工)“长城杯”金质奖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北京市工程建设质量管理协会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rPr>
              <w:t>天津市建设工程</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海河杯</w:t>
            </w:r>
            <w:r>
              <w:rPr>
                <w:rFonts w:hint="eastAsia" w:ascii="宋体" w:hAnsi="宋体" w:eastAsia="宋体" w:cs="宋体"/>
                <w:color w:val="auto"/>
                <w:sz w:val="21"/>
                <w:szCs w:val="21"/>
                <w:highlight w:val="none"/>
                <w:vertAlign w:val="baseline"/>
                <w:lang w:eastAsia="zh-CN"/>
              </w:rPr>
              <w:t>”</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天津市建筑施工行业协会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3</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河北省建筑工程“安济杯”奖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河北省建筑业协会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4</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山西省建设工程“汾水杯”奖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山西省建筑业协会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5</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内蒙</w:t>
            </w:r>
            <w:r>
              <w:rPr>
                <w:rFonts w:hint="eastAsia" w:ascii="宋体" w:hAnsi="宋体" w:eastAsia="宋体" w:cs="宋体"/>
                <w:color w:val="auto"/>
                <w:sz w:val="21"/>
                <w:szCs w:val="21"/>
                <w:highlight w:val="none"/>
                <w:vertAlign w:val="baseline"/>
                <w:lang w:val="en-US" w:eastAsia="zh-CN"/>
              </w:rPr>
              <w:t>古</w:t>
            </w:r>
            <w:r>
              <w:rPr>
                <w:rFonts w:hint="eastAsia" w:ascii="宋体" w:hAnsi="宋体" w:eastAsia="宋体" w:cs="宋体"/>
                <w:color w:val="auto"/>
                <w:sz w:val="21"/>
                <w:szCs w:val="21"/>
                <w:highlight w:val="none"/>
                <w:vertAlign w:val="baseline"/>
              </w:rPr>
              <w:t>自治区“草原杯”工程质量奖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内蒙古自治区住房建设厅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6</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辽</w:t>
            </w:r>
            <w:r>
              <w:rPr>
                <w:rFonts w:hint="eastAsia" w:ascii="宋体" w:hAnsi="宋体" w:eastAsia="宋体" w:cs="宋体"/>
                <w:color w:val="auto"/>
                <w:sz w:val="21"/>
                <w:szCs w:val="21"/>
                <w:highlight w:val="none"/>
                <w:vertAlign w:val="baseline"/>
              </w:rPr>
              <w:t>宁省建设工程“世纪杯”奖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lang w:eastAsia="zh-CN"/>
              </w:rPr>
              <w:t>辽宁省</w:t>
            </w:r>
            <w:r>
              <w:rPr>
                <w:rFonts w:hint="eastAsia" w:ascii="宋体" w:hAnsi="宋体" w:eastAsia="宋体" w:cs="宋体"/>
                <w:color w:val="auto"/>
                <w:sz w:val="21"/>
                <w:szCs w:val="21"/>
                <w:highlight w:val="none"/>
              </w:rPr>
              <w:t>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7</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吉林省建设工程“长白山杯”奖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吉林省建筑业协会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8</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黑龙江省建设工程质量“龙江杯”奖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黑龙江省建筑业协会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9</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上海市建设工程“白玉兰”奖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上海市建筑施工行业协会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10</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江苏</w:t>
            </w:r>
            <w:r>
              <w:rPr>
                <w:rFonts w:hint="eastAsia" w:ascii="宋体" w:hAnsi="宋体" w:cs="宋体"/>
                <w:color w:val="auto"/>
                <w:sz w:val="21"/>
                <w:szCs w:val="21"/>
                <w:highlight w:val="none"/>
                <w:vertAlign w:val="baseline"/>
                <w:lang w:val="en-US" w:eastAsia="zh-CN"/>
              </w:rPr>
              <w:t>省</w:t>
            </w:r>
            <w:r>
              <w:rPr>
                <w:rFonts w:hint="eastAsia" w:ascii="宋体" w:hAnsi="宋体" w:eastAsia="宋体" w:cs="宋体"/>
                <w:color w:val="auto"/>
                <w:sz w:val="21"/>
                <w:szCs w:val="21"/>
                <w:highlight w:val="none"/>
                <w:vertAlign w:val="baseline"/>
              </w:rPr>
              <w:t>“扬子杯”优质工程奖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lang w:val="en-US" w:eastAsia="zh-CN"/>
              </w:rPr>
              <w:t>江</w:t>
            </w:r>
            <w:r>
              <w:rPr>
                <w:rFonts w:hint="eastAsia" w:ascii="宋体" w:hAnsi="宋体" w:eastAsia="宋体" w:cs="宋体"/>
                <w:color w:val="auto"/>
                <w:sz w:val="21"/>
                <w:szCs w:val="21"/>
                <w:highlight w:val="none"/>
              </w:rPr>
              <w:t>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11</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浙江省“钱江杯”优质工程奖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lang w:val="en-US" w:eastAsia="zh-CN"/>
              </w:rPr>
              <w:t>浙江</w:t>
            </w:r>
            <w:r>
              <w:rPr>
                <w:rFonts w:hint="eastAsia" w:ascii="宋体" w:hAnsi="宋体" w:eastAsia="宋体" w:cs="宋体"/>
                <w:color w:val="auto"/>
                <w:sz w:val="21"/>
                <w:szCs w:val="21"/>
                <w:highlight w:val="none"/>
              </w:rPr>
              <w:t>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12</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安徽省建设工程“黄山杯“</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lang w:val="en-US" w:eastAsia="zh-CN"/>
              </w:rPr>
              <w:t>安徽</w:t>
            </w:r>
            <w:r>
              <w:rPr>
                <w:rFonts w:hint="eastAsia" w:ascii="宋体" w:hAnsi="宋体" w:eastAsia="宋体" w:cs="宋体"/>
                <w:color w:val="auto"/>
                <w:sz w:val="21"/>
                <w:szCs w:val="21"/>
                <w:highlight w:val="none"/>
              </w:rPr>
              <w:t>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13</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福建省“闽江杯”优质工程奖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福建省建筑业协会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14</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江西省</w:t>
            </w:r>
            <w:r>
              <w:rPr>
                <w:rFonts w:hint="eastAsia" w:ascii="宋体" w:hAnsi="宋体" w:eastAsia="宋体" w:cs="宋体"/>
                <w:color w:val="auto"/>
                <w:sz w:val="21"/>
                <w:szCs w:val="21"/>
                <w:highlight w:val="none"/>
                <w:vertAlign w:val="baseline"/>
              </w:rPr>
              <w:t>优质建设工程“杜鹃花奖”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江西省住房和城乡建设厅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15</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山</w:t>
            </w:r>
            <w:r>
              <w:rPr>
                <w:rFonts w:hint="eastAsia" w:ascii="宋体" w:hAnsi="宋体" w:eastAsia="宋体" w:cs="宋体"/>
                <w:color w:val="auto"/>
                <w:sz w:val="21"/>
                <w:szCs w:val="21"/>
                <w:highlight w:val="none"/>
                <w:vertAlign w:val="baseline"/>
              </w:rPr>
              <w:t>东省建筑工程质量“泰山杯”奖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山东省住房和城乡建设厅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16</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河南省建设工程“中州杯”奖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河南省住房和城乡建设厅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17</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湖北省建设优质工程(楚天杯)</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湖北省建设工程质量安全协会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18</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湖</w:t>
            </w:r>
            <w:r>
              <w:rPr>
                <w:rFonts w:hint="eastAsia" w:ascii="宋体" w:hAnsi="宋体" w:eastAsia="宋体" w:cs="宋体"/>
                <w:color w:val="auto"/>
                <w:sz w:val="21"/>
                <w:szCs w:val="21"/>
                <w:highlight w:val="none"/>
                <w:vertAlign w:val="baseline"/>
              </w:rPr>
              <w:t>南省建设工程“芙蓉奖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湖南省建筑业协会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19</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广</w:t>
            </w:r>
            <w:r>
              <w:rPr>
                <w:rFonts w:hint="eastAsia" w:ascii="宋体" w:hAnsi="宋体" w:eastAsia="宋体" w:cs="宋体"/>
                <w:color w:val="auto"/>
                <w:sz w:val="21"/>
                <w:szCs w:val="21"/>
                <w:highlight w:val="none"/>
                <w:vertAlign w:val="baseline"/>
              </w:rPr>
              <w:t>东省建设工程“金匠奖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广</w:t>
            </w:r>
            <w:r>
              <w:rPr>
                <w:rFonts w:hint="eastAsia" w:ascii="宋体" w:hAnsi="宋体" w:eastAsia="宋体" w:cs="宋体"/>
                <w:color w:val="auto"/>
                <w:sz w:val="21"/>
                <w:szCs w:val="21"/>
                <w:highlight w:val="none"/>
                <w:vertAlign w:val="baseline"/>
              </w:rPr>
              <w:t>东省建筑业协会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20</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广</w:t>
            </w:r>
            <w:r>
              <w:rPr>
                <w:rFonts w:hint="eastAsia" w:ascii="宋体" w:hAnsi="宋体" w:eastAsia="宋体" w:cs="宋体"/>
                <w:color w:val="auto"/>
                <w:sz w:val="21"/>
                <w:szCs w:val="21"/>
                <w:highlight w:val="none"/>
                <w:vertAlign w:val="baseline"/>
              </w:rPr>
              <w:t>西</w:t>
            </w:r>
            <w:r>
              <w:rPr>
                <w:rFonts w:hint="eastAsia" w:ascii="宋体" w:hAnsi="宋体" w:eastAsia="宋体" w:cs="宋体"/>
                <w:color w:val="auto"/>
                <w:sz w:val="21"/>
                <w:szCs w:val="21"/>
                <w:highlight w:val="none"/>
                <w:vertAlign w:val="baseline"/>
                <w:lang w:val="en-US" w:eastAsia="zh-CN"/>
              </w:rPr>
              <w:t>壮族</w:t>
            </w:r>
            <w:r>
              <w:rPr>
                <w:rFonts w:hint="eastAsia" w:ascii="宋体" w:hAnsi="宋体" w:eastAsia="宋体" w:cs="宋体"/>
                <w:color w:val="auto"/>
                <w:sz w:val="21"/>
                <w:szCs w:val="21"/>
                <w:highlight w:val="none"/>
                <w:vertAlign w:val="baseline"/>
              </w:rPr>
              <w:t>自治区建设工程“真武阁杯”奖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广</w:t>
            </w:r>
            <w:r>
              <w:rPr>
                <w:rFonts w:hint="eastAsia" w:ascii="宋体" w:hAnsi="宋体" w:eastAsia="宋体" w:cs="宋体"/>
                <w:color w:val="auto"/>
                <w:sz w:val="21"/>
                <w:szCs w:val="21"/>
                <w:highlight w:val="none"/>
                <w:vertAlign w:val="baseline"/>
              </w:rPr>
              <w:t>西建筑业联合会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21</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rPr>
              <w:t>海南省建筑工程“绿岛杯</w:t>
            </w:r>
            <w:r>
              <w:rPr>
                <w:rFonts w:hint="eastAsia" w:ascii="宋体" w:hAnsi="宋体" w:eastAsia="宋体" w:cs="宋体"/>
                <w:color w:val="auto"/>
                <w:sz w:val="21"/>
                <w:szCs w:val="21"/>
                <w:highlight w:val="none"/>
                <w:vertAlign w:val="baseline"/>
                <w:lang w:eastAsia="zh-CN"/>
              </w:rPr>
              <w:t>”</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海南省建筑业协会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22</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重庆市“巴渝杯”优质工程</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重庆市建筑业协会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23</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四川省建设工程“天府杯</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金奖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四川省建设工程质量安全与监理协会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24</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贵州省“黄果树杯”优质工程奖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贵州省建筑业协会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25</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云南省优质工程一等奖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云南省建筑业协会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26</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西藏自治区“雪莲杯”优质工程奖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西藏自治区住房和城乡建设厅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27</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陕西省建设工程“长安杯”奖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陕西省住房和城乡建设厅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28</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甘肃省建设工程飞天奖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甘肃省住房和城乡建设厅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29</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青海省建筑工程“江河源”杯奖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青海省建筑业协会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宁夏回族自治区“西夏杯”优质工程奖</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宁夏回族自治区住房和城乡建设厅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31</w:t>
            </w:r>
          </w:p>
        </w:tc>
        <w:tc>
          <w:tcPr>
            <w:tcW w:w="450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rPr>
              <w:t>新疆建筑工程天山奖(自治区优质工程</w:t>
            </w:r>
            <w:r>
              <w:rPr>
                <w:rFonts w:hint="eastAsia" w:ascii="宋体" w:hAnsi="宋体" w:eastAsia="宋体" w:cs="宋体"/>
                <w:color w:val="auto"/>
                <w:sz w:val="21"/>
                <w:szCs w:val="21"/>
                <w:highlight w:val="none"/>
                <w:lang w:val="en-US" w:eastAsia="zh-CN"/>
              </w:rPr>
              <w:t>)</w:t>
            </w:r>
          </w:p>
        </w:tc>
        <w:tc>
          <w:tcPr>
            <w:tcW w:w="408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rPr>
              <w:t>新疆维吾尔自治区建筑业协会</w:t>
            </w:r>
          </w:p>
        </w:tc>
      </w:tr>
    </w:tbl>
    <w:p>
      <w:pPr>
        <w:snapToGrid w:val="0"/>
        <w:spacing w:line="288" w:lineRule="auto"/>
        <w:ind w:firstLine="480" w:firstLineChars="200"/>
        <w:rPr>
          <w:rFonts w:ascii="宋体" w:hAnsi="宋体"/>
          <w:strike/>
          <w:color w:val="auto"/>
          <w:highlight w:val="none"/>
        </w:rPr>
      </w:pPr>
    </w:p>
    <w:p>
      <w:pPr>
        <w:snapToGrid w:val="0"/>
        <w:spacing w:line="288" w:lineRule="auto"/>
        <w:rPr>
          <w:rFonts w:ascii="宋体" w:hAnsi="宋体"/>
          <w:color w:val="auto"/>
          <w:highlight w:val="none"/>
        </w:rPr>
      </w:pPr>
      <w:r>
        <w:rPr>
          <w:rFonts w:ascii="宋体" w:hAnsi="宋体"/>
          <w:color w:val="auto"/>
          <w:highlight w:val="none"/>
        </w:rPr>
        <w:br w:type="page"/>
      </w:r>
    </w:p>
    <w:p>
      <w:pPr>
        <w:pStyle w:val="3"/>
        <w:rPr>
          <w:rFonts w:ascii="Microsoft JhengHei" w:eastAsia="等线"/>
          <w:b/>
          <w:bCs w:val="0"/>
          <w:color w:val="auto"/>
          <w:sz w:val="20"/>
          <w:szCs w:val="20"/>
          <w:highlight w:val="none"/>
        </w:rPr>
      </w:pPr>
      <w:bookmarkStart w:id="171" w:name="_Toc67589035"/>
      <w:bookmarkEnd w:id="171"/>
      <w:bookmarkStart w:id="172" w:name="_Toc25289"/>
      <w:bookmarkEnd w:id="172"/>
      <w:bookmarkStart w:id="173" w:name="_Toc45697243"/>
      <w:bookmarkEnd w:id="173"/>
      <w:bookmarkStart w:id="174" w:name="_Toc22828079"/>
      <w:r>
        <w:rPr>
          <w:rFonts w:hint="eastAsia" w:ascii="黑体" w:hAnsi="黑体"/>
          <w:b/>
          <w:color w:val="auto"/>
          <w:highlight w:val="none"/>
        </w:rPr>
        <w:t>第四章合同条款及格式</w:t>
      </w:r>
      <w:bookmarkEnd w:id="174"/>
      <w:bookmarkStart w:id="175" w:name="bookmark180"/>
      <w:bookmarkEnd w:id="175"/>
    </w:p>
    <w:p>
      <w:pPr>
        <w:pStyle w:val="10"/>
        <w:kinsoku w:val="0"/>
        <w:snapToGrid w:val="0"/>
        <w:spacing w:line="360" w:lineRule="auto"/>
        <w:ind w:left="0" w:firstLine="480" w:firstLineChars="200"/>
        <w:rPr>
          <w:rFonts w:hint="eastAsia" w:ascii="宋体" w:hAnsi="宋体"/>
          <w:color w:val="auto"/>
          <w:highlight w:val="none"/>
        </w:rPr>
        <w:sectPr>
          <w:pgSz w:w="11905" w:h="16838"/>
          <w:pgMar w:top="1400" w:right="1474" w:bottom="1179" w:left="1531" w:header="0" w:footer="918" w:gutter="0"/>
          <w:cols w:space="720" w:num="1"/>
        </w:sectPr>
      </w:pPr>
      <w:r>
        <w:rPr>
          <w:rFonts w:hint="eastAsia" w:ascii="宋体" w:hAnsi="宋体"/>
          <w:color w:val="auto"/>
          <w:highlight w:val="none"/>
        </w:rPr>
        <w:t>使用住房和城乡建设部、国家工商行政管理总局制定的《建设工程施工合同（示范文本）》（GF-2017-0201）及当地建设主管部门颁发的施工合同专用条款（范本）</w:t>
      </w:r>
    </w:p>
    <w:p>
      <w:pPr>
        <w:pStyle w:val="10"/>
        <w:kinsoku w:val="0"/>
        <w:snapToGrid w:val="0"/>
        <w:spacing w:line="360" w:lineRule="auto"/>
        <w:ind w:left="0" w:firstLine="480" w:firstLineChars="200"/>
        <w:rPr>
          <w:rFonts w:hint="eastAsia" w:ascii="宋体" w:hAnsi="宋体"/>
          <w:color w:val="auto"/>
          <w:highlight w:val="none"/>
        </w:rPr>
        <w:sectPr>
          <w:pgSz w:w="11905" w:h="16838"/>
          <w:pgMar w:top="1400" w:right="1474" w:bottom="1179" w:left="1531" w:header="0" w:footer="918" w:gutter="0"/>
          <w:cols w:space="720" w:num="1"/>
        </w:sectPr>
      </w:pPr>
    </w:p>
    <w:p>
      <w:pPr>
        <w:pStyle w:val="10"/>
        <w:kinsoku w:val="0"/>
        <w:snapToGrid w:val="0"/>
        <w:spacing w:line="360" w:lineRule="auto"/>
        <w:ind w:left="0" w:firstLine="480" w:firstLineChars="200"/>
        <w:rPr>
          <w:rFonts w:ascii="宋体" w:hAnsi="宋体"/>
          <w:color w:val="auto"/>
          <w:highlight w:val="none"/>
        </w:rPr>
      </w:pPr>
      <w:r>
        <w:rPr>
          <w:rFonts w:hint="eastAsia" w:ascii="宋体" w:hAnsi="宋体"/>
          <w:color w:val="auto"/>
          <w:highlight w:val="none"/>
        </w:rPr>
        <w:t>。</w:t>
      </w:r>
    </w:p>
    <w:p>
      <w:pPr>
        <w:pStyle w:val="4"/>
        <w:jc w:val="center"/>
        <w:rPr>
          <w:rFonts w:ascii="黑体" w:hAnsi="黑体" w:eastAsia="黑体"/>
          <w:b w:val="0"/>
          <w:i w:val="0"/>
          <w:iCs w:val="0"/>
          <w:color w:val="auto"/>
          <w:sz w:val="44"/>
          <w:szCs w:val="44"/>
          <w:highlight w:val="none"/>
        </w:rPr>
      </w:pPr>
      <w:bookmarkStart w:id="176" w:name="bookmark181"/>
      <w:bookmarkEnd w:id="176"/>
      <w:r>
        <w:rPr>
          <w:rFonts w:hint="eastAsia" w:ascii="黑体" w:hAnsi="黑体" w:eastAsia="黑体"/>
          <w:b w:val="0"/>
          <w:i w:val="0"/>
          <w:iCs w:val="0"/>
          <w:color w:val="auto"/>
          <w:sz w:val="44"/>
          <w:szCs w:val="44"/>
          <w:highlight w:val="none"/>
        </w:rPr>
        <w:t>第三部分 专用合同条款</w:t>
      </w:r>
    </w:p>
    <w:p>
      <w:pPr>
        <w:autoSpaceDE/>
        <w:autoSpaceDN/>
        <w:adjustRightInd/>
        <w:spacing w:line="400" w:lineRule="exact"/>
        <w:ind w:firstLine="480" w:firstLineChars="200"/>
        <w:jc w:val="both"/>
        <w:rPr>
          <w:rFonts w:ascii="方正公文黑体" w:hAnsi="方正公文黑体" w:eastAsia="方正公文黑体" w:cs="方正公文黑体"/>
          <w:i w:val="0"/>
          <w:iCs w:val="0"/>
          <w:color w:val="auto"/>
          <w:highlight w:val="none"/>
        </w:rPr>
      </w:pPr>
      <w:bookmarkStart w:id="177" w:name="_Toc351203633"/>
      <w:bookmarkEnd w:id="177"/>
      <w:bookmarkStart w:id="178" w:name="_Toc351203632"/>
      <w:r>
        <w:rPr>
          <w:rFonts w:hint="eastAsia" w:ascii="方正公文黑体" w:hAnsi="方正公文黑体" w:eastAsia="方正公文黑体" w:cs="方正公文黑体"/>
          <w:i w:val="0"/>
          <w:iCs w:val="0"/>
          <w:color w:val="auto"/>
          <w:highlight w:val="none"/>
        </w:rPr>
        <w:t>专用合同条款括号内斜体字部分说明是根据现行的法律、法规和文件要求，合同双方应遵循的内容。合同双方应根据项目具体情况，按要求细化具体条文。</w:t>
      </w:r>
    </w:p>
    <w:bookmarkEnd w:id="178"/>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r>
        <w:rPr>
          <w:rFonts w:hint="eastAsia" w:ascii="宋体" w:hAnsi="宋体" w:eastAsia="宋体" w:cs="宋体"/>
          <w:bCs/>
          <w:i w:val="0"/>
          <w:iCs w:val="0"/>
          <w:color w:val="auto"/>
          <w:kern w:val="2"/>
          <w:sz w:val="21"/>
          <w:szCs w:val="21"/>
          <w:highlight w:val="none"/>
        </w:rPr>
        <w:t>1</w:t>
      </w:r>
      <w:bookmarkStart w:id="179" w:name="_Toc296944495"/>
      <w:bookmarkStart w:id="180" w:name="_Toc297048342"/>
      <w:bookmarkStart w:id="181" w:name="_Toc296891196"/>
      <w:bookmarkStart w:id="182" w:name="_Toc296347155"/>
      <w:bookmarkStart w:id="183" w:name="_Toc297120456"/>
      <w:bookmarkStart w:id="184" w:name="_Toc296503156"/>
      <w:bookmarkStart w:id="185" w:name="_Toc296890984"/>
      <w:bookmarkStart w:id="186" w:name="_Toc292559361"/>
      <w:bookmarkStart w:id="187" w:name="_Toc292559866"/>
      <w:bookmarkStart w:id="188" w:name="_Toc296346657"/>
      <w:r>
        <w:rPr>
          <w:rFonts w:hint="eastAsia" w:ascii="宋体" w:hAnsi="宋体" w:eastAsia="宋体" w:cs="宋体"/>
          <w:bCs/>
          <w:i w:val="0"/>
          <w:iCs w:val="0"/>
          <w:color w:val="auto"/>
          <w:kern w:val="2"/>
          <w:sz w:val="21"/>
          <w:szCs w:val="21"/>
          <w:highlight w:val="none"/>
        </w:rPr>
        <w:t>. 一般约定</w:t>
      </w:r>
    </w:p>
    <w:bookmarkEnd w:id="179"/>
    <w:bookmarkEnd w:id="180"/>
    <w:bookmarkEnd w:id="181"/>
    <w:bookmarkEnd w:id="182"/>
    <w:bookmarkEnd w:id="183"/>
    <w:bookmarkEnd w:id="184"/>
    <w:bookmarkEnd w:id="185"/>
    <w:bookmarkEnd w:id="186"/>
    <w:bookmarkEnd w:id="187"/>
    <w:bookmarkEnd w:id="188"/>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 词语定义</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1.1.1合同</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1.1.1.10其他合同文件包括：</w:t>
      </w:r>
      <w:r>
        <w:rPr>
          <w:rFonts w:hint="eastAsia" w:ascii="宋体" w:hAnsi="宋体" w:eastAsia="宋体" w:cs="宋体"/>
          <w:b/>
          <w:i w:val="0"/>
          <w:iCs w:val="0"/>
          <w:color w:val="auto"/>
          <w:kern w:val="0"/>
          <w:sz w:val="21"/>
          <w:szCs w:val="21"/>
          <w:highlight w:val="none"/>
          <w:u w:val="single"/>
        </w:rPr>
        <w:t>1、合同协议书及各种合同附件；2、中标通知书；3、投标函及投标函附录；4、专用合同条款；5、通用合同条款；6、招标文件；7、图纸；8、标准、规范及有关技术文件；9、已标价的工程量清单或预算书；10、在工程实施过程中双方签署的有关工程的洽商、变更联系单等书面协议、纪要或文件</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1.1.2 合同当事人及其他相关方</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1.1.2.4监理人：</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名    称：</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资质类别和等级：</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联系电话：</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电子信箱：</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通信地址：</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1.1.2.5 设计人：</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名    称：</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资质类别和等级：</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联系电话：</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电子信箱：</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通信地址：</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1.1.3 工程和设备</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1.1.3.7 作为施工现场组成部分的其他场所包括：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1.1.3.9 永久占地包括：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1.1.3.10 临时占地包括：</w:t>
      </w:r>
      <w:r>
        <w:rPr>
          <w:rFonts w:hint="eastAsia" w:ascii="宋体" w:hAnsi="宋体" w:eastAsia="宋体" w:cs="宋体"/>
          <w:b/>
          <w:i w:val="0"/>
          <w:iCs w:val="0"/>
          <w:color w:val="auto"/>
          <w:sz w:val="21"/>
          <w:szCs w:val="21"/>
          <w:highlight w:val="none"/>
          <w:u w:val="single"/>
        </w:rPr>
        <w:t>为完成合同约定的各项工作所修建的各类临时性生产和生活设施等所占用的地块</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xml:space="preserve">1.3法律 </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适用于合同的其他规范性文件</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rPr>
        <w:t>《中华人民共和国民法典》、《中华人民共和国建筑法》、《</w:t>
      </w:r>
      <w:r>
        <w:rPr>
          <w:rFonts w:hint="eastAsia" w:ascii="宋体" w:hAnsi="宋体" w:cs="宋体"/>
          <w:b/>
          <w:i w:val="0"/>
          <w:iCs w:val="0"/>
          <w:color w:val="auto"/>
          <w:sz w:val="21"/>
          <w:szCs w:val="21"/>
          <w:highlight w:val="none"/>
          <w:u w:val="single"/>
          <w:lang w:eastAsia="zh-CN"/>
        </w:rPr>
        <w:t>建设工程质量管理条例</w:t>
      </w:r>
      <w:r>
        <w:rPr>
          <w:rFonts w:hint="eastAsia" w:ascii="宋体" w:hAnsi="宋体" w:eastAsia="宋体" w:cs="宋体"/>
          <w:b/>
          <w:i w:val="0"/>
          <w:iCs w:val="0"/>
          <w:color w:val="auto"/>
          <w:sz w:val="21"/>
          <w:szCs w:val="21"/>
          <w:highlight w:val="none"/>
          <w:u w:val="single"/>
        </w:rPr>
        <w:t>》、《建设工程安全生产管理条例》等相关法规以及工程所在地政府及主管部门有关工程施工、质量、安全方面的法规、条例及本工程相关的政府批文等</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1.4 标准和规范</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1.4.1适用于工程的标准规范包括：</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rPr>
        <w:t>适用于本工程的国家标准、行业标准、工程所在地的地方性标准，以及相应的规范、规程外，本工程还需满足工程所在地建设行政主管部门及质量安全监督部门的相关文件要求，不同的标准以及相应规范、规程存在冲突时，采用要求高的标准以及相应的规范、规程。</w:t>
      </w:r>
    </w:p>
    <w:p>
      <w:pPr>
        <w:pageBreakBefore w:val="0"/>
        <w:kinsoku/>
        <w:wordWrap/>
        <w:overflowPunct/>
        <w:topLinePunct w:val="0"/>
        <w:autoSpaceDE/>
        <w:autoSpaceDN/>
        <w:bidi w:val="0"/>
        <w:adjustRightInd/>
        <w:spacing w:line="440" w:lineRule="exact"/>
        <w:ind w:firstLine="420" w:firstLineChars="200"/>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1.4.2 发包人提供国外标准、规范的名称：</w:t>
      </w:r>
      <w:r>
        <w:rPr>
          <w:rFonts w:hint="eastAsia" w:ascii="宋体" w:hAnsi="宋体" w:eastAsia="宋体" w:cs="宋体"/>
          <w:i w:val="0"/>
          <w:iCs w:val="0"/>
          <w:color w:val="auto"/>
          <w:sz w:val="21"/>
          <w:szCs w:val="21"/>
          <w:highlight w:val="none"/>
          <w:u w:val="single"/>
        </w:rPr>
        <w:t xml:space="preserve">   　　　　/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发包人提供国外标准、规范的份数：</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发包人提供国外标准、规范的名称：</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1.4.3发包人对工程的技术标准和功能要求的特殊要求：</w:t>
      </w:r>
    </w:p>
    <w:p>
      <w:pPr>
        <w:pageBreakBefore w:val="0"/>
        <w:kinsoku/>
        <w:wordWrap/>
        <w:overflowPunct/>
        <w:topLinePunct w:val="0"/>
        <w:autoSpaceDE/>
        <w:autoSpaceDN/>
        <w:bidi w:val="0"/>
        <w:adjustRightInd/>
        <w:spacing w:line="440" w:lineRule="exact"/>
        <w:jc w:val="both"/>
        <w:rPr>
          <w:rFonts w:hint="eastAsia" w:ascii="宋体" w:hAnsi="宋体" w:eastAsia="宋体" w:cs="宋体"/>
          <w:i w:val="0"/>
          <w:iCs w:val="0"/>
          <w:color w:val="auto"/>
          <w:kern w:val="2"/>
          <w:sz w:val="21"/>
          <w:szCs w:val="21"/>
          <w:highlight w:val="none"/>
        </w:rPr>
      </w:pPr>
      <w:r>
        <w:rPr>
          <w:rFonts w:hint="eastAsia" w:ascii="宋体" w:hAnsi="宋体" w:eastAsia="宋体" w:cs="宋体"/>
          <w:b/>
          <w:i w:val="0"/>
          <w:iCs w:val="0"/>
          <w:color w:val="auto"/>
          <w:kern w:val="0"/>
          <w:sz w:val="21"/>
          <w:szCs w:val="21"/>
          <w:highlight w:val="none"/>
          <w:u w:val="single"/>
        </w:rPr>
        <w:t>由发包人和监理工程师提出，双方协商解决，按行业规范实施</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1.5 合同文件的优先顺序</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合同文件组成及优先顺序为：</w:t>
      </w:r>
      <w:r>
        <w:rPr>
          <w:rFonts w:hint="eastAsia" w:ascii="宋体" w:hAnsi="宋体" w:eastAsia="宋体" w:cs="宋体"/>
          <w:b/>
          <w:i w:val="0"/>
          <w:iCs w:val="0"/>
          <w:color w:val="auto"/>
          <w:kern w:val="0"/>
          <w:sz w:val="21"/>
          <w:szCs w:val="21"/>
          <w:highlight w:val="none"/>
          <w:u w:val="single"/>
        </w:rPr>
        <w:t>1、合同协议书及各种合同附件；2、中标通知书；3、投标函及投标函附录；4、专用合同条款；5、通用合同条款；6、招标文件；7、图纸；8、标准、规范及有关技术文件；9、已标价的工程量清单或预算书；10、在工程实施过程中双方签署的有关工程的洽商、变更联系单等书面协议、纪要或文件</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 图纸和承包人文件</w:t>
      </w:r>
      <w:r>
        <w:rPr>
          <w:rFonts w:hint="eastAsia" w:ascii="宋体" w:hAnsi="宋体" w:eastAsia="宋体" w:cs="宋体"/>
          <w:i w:val="0"/>
          <w:iCs w:val="0"/>
          <w:color w:val="auto"/>
          <w:kern w:val="2"/>
          <w:sz w:val="21"/>
          <w:szCs w:val="21"/>
          <w:highlight w:val="none"/>
        </w:rPr>
        <w:tab/>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1.6.1 图纸的提供</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发包人向承包人提供图纸的期限：</w:t>
      </w:r>
      <w:r>
        <w:rPr>
          <w:rFonts w:hint="eastAsia" w:ascii="宋体" w:hAnsi="宋体" w:eastAsia="宋体" w:cs="宋体"/>
          <w:b/>
          <w:i w:val="0"/>
          <w:iCs w:val="0"/>
          <w:color w:val="auto"/>
          <w:sz w:val="21"/>
          <w:szCs w:val="21"/>
          <w:highlight w:val="none"/>
          <w:u w:val="single"/>
        </w:rPr>
        <w:t>签订合同后一星期内</w:t>
      </w:r>
      <w:r>
        <w:rPr>
          <w:rFonts w:hint="eastAsia" w:ascii="宋体" w:hAnsi="宋体" w:eastAsia="宋体" w:cs="宋体"/>
          <w:i w:val="0"/>
          <w:iCs w:val="0"/>
          <w:color w:val="auto"/>
          <w:sz w:val="21"/>
          <w:szCs w:val="21"/>
          <w:highlight w:val="none"/>
        </w:rPr>
        <w:t>；</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发包人向承包人提供图纸的数量：</w:t>
      </w:r>
      <w:r>
        <w:rPr>
          <w:rFonts w:hint="eastAsia" w:ascii="宋体" w:hAnsi="宋体" w:eastAsia="宋体" w:cs="宋体"/>
          <w:b/>
          <w:i w:val="0"/>
          <w:iCs w:val="0"/>
          <w:color w:val="auto"/>
          <w:sz w:val="21"/>
          <w:szCs w:val="21"/>
          <w:highlight w:val="none"/>
          <w:u w:val="single"/>
        </w:rPr>
        <w:t>6套（如承包人要求增加的，所需费用由承包人承担）</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b/>
          <w:i w:val="0"/>
          <w:iCs w:val="0"/>
          <w:color w:val="auto"/>
          <w:sz w:val="21"/>
          <w:szCs w:val="21"/>
          <w:highlight w:val="none"/>
        </w:rPr>
      </w:pPr>
      <w:r>
        <w:rPr>
          <w:rFonts w:hint="eastAsia" w:ascii="宋体" w:hAnsi="宋体" w:eastAsia="宋体" w:cs="宋体"/>
          <w:i w:val="0"/>
          <w:iCs w:val="0"/>
          <w:color w:val="auto"/>
          <w:kern w:val="2"/>
          <w:sz w:val="21"/>
          <w:szCs w:val="21"/>
          <w:highlight w:val="none"/>
        </w:rPr>
        <w:t>发包人向承包人提供图纸的内容</w:t>
      </w:r>
      <w:r>
        <w:rPr>
          <w:rFonts w:hint="eastAsia" w:ascii="宋体" w:hAnsi="宋体" w:eastAsia="宋体" w:cs="宋体"/>
          <w:i w:val="0"/>
          <w:iCs w:val="0"/>
          <w:color w:val="auto"/>
          <w:sz w:val="21"/>
          <w:szCs w:val="21"/>
          <w:highlight w:val="none"/>
        </w:rPr>
        <w:t>：</w:t>
      </w:r>
      <w:r>
        <w:rPr>
          <w:rFonts w:hint="eastAsia" w:ascii="宋体" w:hAnsi="宋体" w:eastAsia="宋体" w:cs="宋体"/>
          <w:b/>
          <w:i w:val="0"/>
          <w:iCs w:val="0"/>
          <w:color w:val="auto"/>
          <w:sz w:val="21"/>
          <w:szCs w:val="21"/>
          <w:highlight w:val="none"/>
          <w:u w:val="single"/>
        </w:rPr>
        <w:t>招标范围内的全部施工图纸</w:t>
      </w:r>
      <w:r>
        <w:rPr>
          <w:rFonts w:hint="eastAsia" w:ascii="宋体" w:hAnsi="宋体" w:eastAsia="宋体" w:cs="宋体"/>
          <w:b/>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1.6.4 承包人文件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需要由承包人提供的文件，包括：</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rPr>
        <w:t>施工总进度计划、施工组织设计，专项施工方案、施工技术措施及各项资源需要量的计划等</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承包人提供的文件的期限为：</w:t>
      </w:r>
      <w:r>
        <w:rPr>
          <w:rFonts w:hint="eastAsia" w:ascii="宋体" w:hAnsi="宋体" w:eastAsia="宋体" w:cs="宋体"/>
          <w:b/>
          <w:i w:val="0"/>
          <w:iCs w:val="0"/>
          <w:color w:val="auto"/>
          <w:sz w:val="21"/>
          <w:szCs w:val="21"/>
          <w:highlight w:val="none"/>
          <w:u w:val="single"/>
        </w:rPr>
        <w:t>符合发包人要求</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承包人提供的文件的数量为：</w:t>
      </w:r>
      <w:r>
        <w:rPr>
          <w:rFonts w:hint="eastAsia" w:ascii="宋体" w:hAnsi="宋体" w:eastAsia="宋体" w:cs="宋体"/>
          <w:b/>
          <w:i w:val="0"/>
          <w:iCs w:val="0"/>
          <w:color w:val="auto"/>
          <w:sz w:val="21"/>
          <w:szCs w:val="21"/>
          <w:highlight w:val="none"/>
          <w:u w:val="single"/>
        </w:rPr>
        <w:t>4份</w:t>
      </w:r>
      <w:r>
        <w:rPr>
          <w:rFonts w:hint="eastAsia" w:ascii="宋体" w:hAnsi="宋体" w:eastAsia="宋体" w:cs="宋体"/>
          <w:i w:val="0"/>
          <w:iCs w:val="0"/>
          <w:color w:val="auto"/>
          <w:kern w:val="2"/>
          <w:sz w:val="21"/>
          <w:szCs w:val="21"/>
          <w:highlight w:val="none"/>
        </w:rPr>
        <w:t>；　</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承包人提供的文件的形式为：</w:t>
      </w:r>
      <w:r>
        <w:rPr>
          <w:rFonts w:hint="eastAsia" w:ascii="宋体" w:hAnsi="宋体" w:eastAsia="宋体" w:cs="宋体"/>
          <w:b/>
          <w:i w:val="0"/>
          <w:iCs w:val="0"/>
          <w:color w:val="auto"/>
          <w:sz w:val="21"/>
          <w:szCs w:val="21"/>
          <w:highlight w:val="none"/>
          <w:u w:val="single"/>
        </w:rPr>
        <w:t>书面资料及电子文档</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发包人审批承包人文件的期限：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双方另行协商</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1.6.5 现场图纸准备</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关于现场图纸准备的约定：</w:t>
      </w:r>
      <w:r>
        <w:rPr>
          <w:rFonts w:hint="eastAsia" w:ascii="宋体" w:hAnsi="宋体" w:eastAsia="宋体" w:cs="宋体"/>
          <w:b/>
          <w:bCs/>
          <w:i w:val="0"/>
          <w:iCs w:val="0"/>
          <w:color w:val="auto"/>
          <w:sz w:val="21"/>
          <w:szCs w:val="21"/>
          <w:highlight w:val="none"/>
          <w:u w:val="single"/>
        </w:rPr>
        <w:t>承包人在现场保存一套完整的施工图以供工程检查时使用</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1.7 联络</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1.7.1发包人和承包人应当在</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lang w:val="en-US" w:eastAsia="zh-CN"/>
        </w:rPr>
        <w:t>3</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天内将与合同有关的通知、批准、证明、证书、指示、指令、要求、请求、同意、意见、确定和决定等书面函件送达对方当事人。</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1.7.2 发包人接收文件的地点：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发包人指定的接收人为：</w:t>
      </w:r>
      <w:r>
        <w:rPr>
          <w:rFonts w:hint="eastAsia" w:ascii="宋体" w:hAnsi="宋体" w:eastAsia="宋体" w:cs="宋体"/>
          <w:i w:val="0"/>
          <w:iCs w:val="0"/>
          <w:color w:val="auto"/>
          <w:kern w:val="2"/>
          <w:sz w:val="21"/>
          <w:szCs w:val="21"/>
          <w:highlight w:val="none"/>
          <w:u w:val="single"/>
        </w:rPr>
        <w:t xml:space="preserve">  </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承包人接收文件的地点：</w:t>
      </w:r>
      <w:r>
        <w:rPr>
          <w:rFonts w:hint="eastAsia" w:ascii="宋体" w:hAnsi="宋体" w:eastAsia="宋体" w:cs="宋体"/>
          <w:i w:val="0"/>
          <w:iCs w:val="0"/>
          <w:color w:val="auto"/>
          <w:kern w:val="2"/>
          <w:sz w:val="21"/>
          <w:szCs w:val="21"/>
          <w:highlight w:val="none"/>
          <w:u w:val="single"/>
        </w:rPr>
        <w:t> 　　</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承包人指定的接收人为：</w:t>
      </w:r>
      <w:r>
        <w:rPr>
          <w:rFonts w:hint="eastAsia" w:ascii="宋体" w:hAnsi="宋体" w:eastAsia="宋体" w:cs="宋体"/>
          <w:i w:val="0"/>
          <w:iCs w:val="0"/>
          <w:color w:val="auto"/>
          <w:kern w:val="2"/>
          <w:sz w:val="21"/>
          <w:szCs w:val="21"/>
          <w:highlight w:val="none"/>
          <w:u w:val="single"/>
        </w:rPr>
        <w:t> 　</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监理人接收文件的地点：</w:t>
      </w:r>
      <w:r>
        <w:rPr>
          <w:rFonts w:hint="eastAsia" w:ascii="宋体" w:hAnsi="宋体" w:eastAsia="宋体" w:cs="宋体"/>
          <w:i w:val="0"/>
          <w:iCs w:val="0"/>
          <w:color w:val="auto"/>
          <w:kern w:val="2"/>
          <w:sz w:val="21"/>
          <w:szCs w:val="21"/>
          <w:highlight w:val="none"/>
          <w:u w:val="single"/>
        </w:rPr>
        <w:t> 　</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监理人指定的接收人为：</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1.10 交通运输</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bookmarkStart w:id="189" w:name="_Toc304295521"/>
      <w:bookmarkStart w:id="190" w:name="_Toc303539100"/>
      <w:bookmarkStart w:id="191" w:name="_Toc300934943"/>
      <w:bookmarkStart w:id="192" w:name="_Toc318581155"/>
      <w:bookmarkStart w:id="193" w:name="_Toc312677986"/>
      <w:r>
        <w:rPr>
          <w:rFonts w:hint="eastAsia" w:ascii="宋体" w:hAnsi="宋体" w:eastAsia="宋体" w:cs="宋体"/>
          <w:i w:val="0"/>
          <w:iCs w:val="0"/>
          <w:color w:val="auto"/>
          <w:kern w:val="2"/>
          <w:sz w:val="21"/>
          <w:szCs w:val="21"/>
          <w:highlight w:val="none"/>
        </w:rPr>
        <w:t>.10.1 出入现场的权利</w:t>
      </w:r>
    </w:p>
    <w:p>
      <w:pPr>
        <w:pageBreakBefore w:val="0"/>
        <w:kinsoku/>
        <w:wordWrap/>
        <w:overflowPunct/>
        <w:topLinePunct w:val="0"/>
        <w:autoSpaceDE/>
        <w:autoSpaceDN/>
        <w:bidi w:val="0"/>
        <w:adjustRightInd/>
        <w:spacing w:line="440" w:lineRule="exact"/>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关于出入现场的权利的约定：</w:t>
      </w:r>
      <w:r>
        <w:rPr>
          <w:rFonts w:hint="eastAsia" w:ascii="宋体" w:hAnsi="宋体" w:eastAsia="宋体" w:cs="宋体"/>
          <w:b/>
          <w:i w:val="0"/>
          <w:iCs w:val="0"/>
          <w:color w:val="auto"/>
          <w:sz w:val="21"/>
          <w:szCs w:val="21"/>
          <w:highlight w:val="none"/>
          <w:u w:val="single"/>
        </w:rPr>
        <w:t>由承包人负责管理</w:t>
      </w:r>
      <w:r>
        <w:rPr>
          <w:rFonts w:hint="eastAsia" w:ascii="宋体" w:hAnsi="宋体" w:eastAsia="宋体" w:cs="宋体"/>
          <w:i w:val="0"/>
          <w:iCs w:val="0"/>
          <w:color w:val="auto"/>
          <w:kern w:val="2"/>
          <w:sz w:val="21"/>
          <w:szCs w:val="21"/>
          <w:highlight w:val="none"/>
        </w:rPr>
        <w:t>。</w:t>
      </w:r>
    </w:p>
    <w:bookmarkEnd w:id="189"/>
    <w:bookmarkEnd w:id="190"/>
    <w:bookmarkEnd w:id="191"/>
    <w:bookmarkEnd w:id="192"/>
    <w:bookmarkEnd w:id="193"/>
    <w:p>
      <w:pPr>
        <w:pageBreakBefore w:val="0"/>
        <w:kinsoku/>
        <w:wordWrap/>
        <w:overflowPunct/>
        <w:topLinePunct w:val="0"/>
        <w:autoSpaceDE/>
        <w:autoSpaceDN/>
        <w:bidi w:val="0"/>
        <w:adjustRightInd/>
        <w:spacing w:line="440" w:lineRule="exact"/>
        <w:ind w:firstLine="420" w:firstLineChars="200"/>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bookmarkStart w:id="194" w:name="_Toc303539101"/>
      <w:bookmarkStart w:id="195" w:name="_Toc304295522"/>
      <w:bookmarkStart w:id="196" w:name="_Toc300934944"/>
      <w:bookmarkStart w:id="197" w:name="_Toc318581156"/>
      <w:bookmarkStart w:id="198" w:name="_Toc312677987"/>
      <w:r>
        <w:rPr>
          <w:rFonts w:hint="eastAsia" w:ascii="宋体" w:hAnsi="宋体" w:eastAsia="宋体" w:cs="宋体"/>
          <w:i w:val="0"/>
          <w:iCs w:val="0"/>
          <w:color w:val="auto"/>
          <w:kern w:val="2"/>
          <w:sz w:val="21"/>
          <w:szCs w:val="21"/>
          <w:highlight w:val="none"/>
        </w:rPr>
        <w:t>.10.3 场内交通</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sz w:val="21"/>
          <w:szCs w:val="21"/>
          <w:highlight w:val="none"/>
        </w:rPr>
        <w:t>关于场外交通和场内交通的边界的约定：</w:t>
      </w:r>
      <w:r>
        <w:rPr>
          <w:rFonts w:hint="eastAsia" w:ascii="宋体" w:hAnsi="宋体" w:eastAsia="宋体" w:cs="宋体"/>
          <w:b/>
          <w:i w:val="0"/>
          <w:iCs w:val="0"/>
          <w:color w:val="auto"/>
          <w:sz w:val="21"/>
          <w:szCs w:val="21"/>
          <w:highlight w:val="none"/>
          <w:u w:val="single"/>
        </w:rPr>
        <w:t>场内道路和交通设施由承包人负责，费用由承包人负责。</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关于发包人向承包人免费提供满足工程施工需要的场内道路和交通设施的约定：</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rPr>
        <w:t>场内道路和交通设施由承包人负责，费用由承包人负责</w:t>
      </w:r>
      <w:r>
        <w:rPr>
          <w:rFonts w:hint="eastAsia" w:ascii="宋体" w:hAnsi="宋体" w:eastAsia="宋体" w:cs="宋体"/>
          <w:b/>
          <w:i w:val="0"/>
          <w:iCs w:val="0"/>
          <w:color w:val="auto"/>
          <w:sz w:val="21"/>
          <w:szCs w:val="21"/>
          <w:highlight w:val="none"/>
          <w:u w:val="single"/>
          <w:lang w:eastAsia="zh-CN"/>
        </w:rPr>
        <w:t>。</w:t>
      </w:r>
      <w:r>
        <w:rPr>
          <w:rFonts w:hint="eastAsia" w:ascii="宋体" w:hAnsi="宋体" w:eastAsia="宋体" w:cs="宋体"/>
          <w:i w:val="0"/>
          <w:iCs w:val="0"/>
          <w:color w:val="auto"/>
          <w:kern w:val="2"/>
          <w:sz w:val="21"/>
          <w:szCs w:val="21"/>
          <w:highlight w:val="none"/>
          <w:u w:val="single"/>
        </w:rPr>
        <w:t xml:space="preserve">  </w:t>
      </w:r>
      <w:bookmarkEnd w:id="194"/>
      <w:bookmarkEnd w:id="195"/>
      <w:bookmarkEnd w:id="196"/>
      <w:bookmarkEnd w:id="197"/>
      <w:bookmarkEnd w:id="198"/>
      <w:bookmarkStart w:id="199" w:name="_Toc318581157"/>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1.10.4超大件和超重件的运输</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运输超大件或超重件所需的道路和桥梁临时加固改造费用和其他有关费用由</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承包人</w:t>
      </w:r>
      <w:r>
        <w:rPr>
          <w:rFonts w:hint="eastAsia" w:ascii="宋体" w:hAnsi="宋体" w:eastAsia="宋体" w:cs="宋体"/>
          <w:i w:val="0"/>
          <w:iCs w:val="0"/>
          <w:color w:val="auto"/>
          <w:kern w:val="2"/>
          <w:sz w:val="21"/>
          <w:szCs w:val="21"/>
          <w:highlight w:val="none"/>
        </w:rPr>
        <w:t>承担。</w:t>
      </w:r>
    </w:p>
    <w:bookmarkEnd w:id="199"/>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1.11 知识产权</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b/>
          <w:i w:val="0"/>
          <w:iCs w:val="0"/>
          <w:color w:val="auto"/>
          <w:kern w:val="0"/>
          <w:sz w:val="21"/>
          <w:szCs w:val="21"/>
          <w:highlight w:val="none"/>
          <w:u w:val="single"/>
        </w:rPr>
        <w:t>归发包人所有</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关于发包人提供的上述文件的使用限制的要求：</w:t>
      </w:r>
      <w:r>
        <w:rPr>
          <w:rFonts w:hint="eastAsia" w:ascii="宋体" w:hAnsi="宋体" w:eastAsia="宋体" w:cs="宋体"/>
          <w:b/>
          <w:i w:val="0"/>
          <w:iCs w:val="0"/>
          <w:color w:val="auto"/>
          <w:sz w:val="21"/>
          <w:szCs w:val="21"/>
          <w:highlight w:val="none"/>
          <w:u w:val="single"/>
        </w:rPr>
        <w:t>承包人不能用于与合同无关的其他事项，未经发包人书面同意，承包人不得为了合同以外的目的而复制、使用上述文件或将之提供给任何第三方</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left="658" w:leftChars="204" w:hanging="168" w:hangingChars="8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1.11.2 关于承包人为实施工程所编制文件的著作权的归属：</w:t>
      </w:r>
      <w:r>
        <w:rPr>
          <w:rFonts w:hint="eastAsia" w:ascii="宋体" w:hAnsi="宋体" w:eastAsia="宋体" w:cs="宋体"/>
          <w:b/>
          <w:i w:val="0"/>
          <w:iCs w:val="0"/>
          <w:color w:val="auto"/>
          <w:kern w:val="0"/>
          <w:sz w:val="21"/>
          <w:szCs w:val="21"/>
          <w:highlight w:val="none"/>
          <w:u w:val="single"/>
        </w:rPr>
        <w:t>归发包人所有，但承包人享有署名权</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关于承包人提供的上述文件的使用限制的要求：</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1.11.4 承包人在施工过程中所采用的专利、专有技术、技术秘密的使用费的承担方式：</w:t>
      </w:r>
      <w:r>
        <w:rPr>
          <w:rFonts w:hint="eastAsia" w:ascii="宋体" w:hAnsi="宋体" w:eastAsia="宋体" w:cs="宋体"/>
          <w:b/>
          <w:i w:val="0"/>
          <w:iCs w:val="0"/>
          <w:color w:val="auto"/>
          <w:sz w:val="21"/>
          <w:szCs w:val="21"/>
          <w:highlight w:val="none"/>
          <w:u w:val="single"/>
        </w:rPr>
        <w:t>承包人</w:t>
      </w:r>
      <w:r>
        <w:rPr>
          <w:rFonts w:hint="eastAsia" w:ascii="宋体" w:hAnsi="宋体" w:eastAsia="宋体" w:cs="宋体"/>
          <w:b/>
          <w:bCs/>
          <w:iCs/>
          <w:color w:val="auto"/>
          <w:sz w:val="21"/>
          <w:szCs w:val="21"/>
          <w:highlight w:val="none"/>
          <w:u w:val="single"/>
        </w:rPr>
        <w:t>承担</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1.13工程量清单错误的修正</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出现工程量清单错误时，是否调整合同价格：</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中标人应在收到中标通知书后三个月内与招标人、编标单位按本招标项目的招标文件、招标范围、施工图、设计变更联系单等复核标底报价书，经标底编制单位核实后，如因工程量变化累计造成中标价金额变化≥2％的，按实调整工程量和合同价格，工程量变化累计造成中标价金额变化＜2％的，则不调整工程量和合同价格。合同价格调整后，招标人按调整后的合同价和合同约定比例支付工程进度款；逾期则暂不调整工程量和合同价格，待工程竣工结算时再按实结算。</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b/>
          <w:i w:val="0"/>
          <w:iCs w:val="0"/>
          <w:color w:val="auto"/>
          <w:sz w:val="21"/>
          <w:szCs w:val="21"/>
          <w:highlight w:val="none"/>
          <w:u w:val="single"/>
          <w:lang w:val="en-US" w:eastAsia="zh-CN"/>
        </w:rPr>
      </w:pPr>
      <w:r>
        <w:rPr>
          <w:rFonts w:hint="eastAsia" w:ascii="宋体" w:hAnsi="宋体" w:eastAsia="宋体" w:cs="宋体"/>
          <w:i w:val="0"/>
          <w:iCs w:val="0"/>
          <w:color w:val="auto"/>
          <w:kern w:val="2"/>
          <w:sz w:val="21"/>
          <w:szCs w:val="21"/>
          <w:highlight w:val="none"/>
        </w:rPr>
        <w:t>允许调整合同价格的工程量偏差范围：</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bCs/>
          <w:iCs/>
          <w:color w:val="auto"/>
          <w:sz w:val="21"/>
          <w:szCs w:val="21"/>
          <w:highlight w:val="none"/>
          <w:u w:val="single"/>
        </w:rPr>
        <w:t>根据《浙江省建设工程计价规则》（2018</w:t>
      </w:r>
      <w:r>
        <w:rPr>
          <w:rFonts w:hint="eastAsia" w:ascii="宋体" w:hAnsi="宋体" w:eastAsia="宋体" w:cs="宋体"/>
          <w:b/>
          <w:bCs/>
          <w:color w:val="auto"/>
          <w:sz w:val="21"/>
          <w:szCs w:val="21"/>
          <w:highlight w:val="none"/>
          <w:u w:val="single"/>
        </w:rPr>
        <w:t>版）8.3相关条款。允许调整合同价格的工程量偏差范围包括：1、发包人提供的工程量清单项目工程量有偏差，工程量应调整；2、合价金额占合同总价2%及以上的分部分项清单项目，其工程量增减超过本项工程量15%及以上，或合价金额占合同总价不到2%的分部分项清单项目，但其工程量增减超过本项目工程数量25%及以上时，增减</w:t>
      </w:r>
      <w:r>
        <w:rPr>
          <w:rFonts w:hint="eastAsia" w:ascii="宋体" w:hAnsi="宋体" w:eastAsia="宋体" w:cs="宋体"/>
          <w:b/>
          <w:bCs/>
          <w:color w:val="auto"/>
          <w:sz w:val="21"/>
          <w:szCs w:val="21"/>
          <w:highlight w:val="none"/>
          <w:u w:val="single"/>
          <w:lang w:val="en-US" w:eastAsia="zh-CN"/>
        </w:rPr>
        <w:t>超过部分</w:t>
      </w:r>
      <w:r>
        <w:rPr>
          <w:rFonts w:hint="eastAsia" w:ascii="宋体" w:hAnsi="宋体" w:eastAsia="宋体" w:cs="宋体"/>
          <w:b/>
          <w:bCs/>
          <w:color w:val="auto"/>
          <w:sz w:val="21"/>
          <w:szCs w:val="21"/>
          <w:highlight w:val="none"/>
          <w:u w:val="single"/>
        </w:rPr>
        <w:t>工程量</w:t>
      </w:r>
      <w:r>
        <w:rPr>
          <w:rFonts w:hint="eastAsia" w:ascii="宋体" w:hAnsi="宋体" w:eastAsia="宋体" w:cs="宋体"/>
          <w:b/>
          <w:bCs/>
          <w:color w:val="auto"/>
          <w:sz w:val="21"/>
          <w:szCs w:val="21"/>
          <w:highlight w:val="none"/>
          <w:u w:val="single"/>
          <w:lang w:val="en-US" w:eastAsia="zh-CN"/>
        </w:rPr>
        <w:t>的相应综合单价</w:t>
      </w:r>
      <w:r>
        <w:rPr>
          <w:rFonts w:hint="eastAsia" w:ascii="宋体" w:hAnsi="宋体" w:eastAsia="宋体" w:cs="宋体"/>
          <w:b/>
          <w:bCs/>
          <w:color w:val="auto"/>
          <w:sz w:val="21"/>
          <w:szCs w:val="21"/>
          <w:highlight w:val="none"/>
          <w:u w:val="single"/>
        </w:rPr>
        <w:t>按</w:t>
      </w:r>
      <w:r>
        <w:rPr>
          <w:rFonts w:hint="eastAsia" w:ascii="宋体" w:hAnsi="宋体" w:eastAsia="宋体" w:cs="宋体"/>
          <w:b/>
          <w:i w:val="0"/>
          <w:iCs w:val="0"/>
          <w:color w:val="auto"/>
          <w:sz w:val="21"/>
          <w:szCs w:val="21"/>
          <w:highlight w:val="none"/>
          <w:u w:val="single"/>
          <w:lang w:val="en-US" w:eastAsia="zh-CN"/>
        </w:rPr>
        <w:t>招标文件标底编制口径组价</w:t>
      </w:r>
      <w:r>
        <w:rPr>
          <w:rFonts w:hint="eastAsia" w:ascii="宋体" w:hAnsi="宋体" w:eastAsia="宋体" w:cs="宋体"/>
          <w:color w:val="auto"/>
          <w:sz w:val="21"/>
          <w:szCs w:val="21"/>
          <w:highlight w:val="none"/>
          <w:u w:val="single"/>
        </w:rPr>
        <w:t>（</w:t>
      </w:r>
      <w:r>
        <w:rPr>
          <w:rFonts w:hint="eastAsia" w:ascii="宋体" w:hAnsi="宋体" w:eastAsia="宋体" w:cs="宋体"/>
          <w:b/>
          <w:i w:val="0"/>
          <w:iCs w:val="0"/>
          <w:color w:val="auto"/>
          <w:sz w:val="21"/>
          <w:szCs w:val="21"/>
          <w:highlight w:val="none"/>
          <w:u w:val="single"/>
          <w:lang w:val="en-US" w:eastAsia="zh-CN"/>
        </w:rPr>
        <w:t>绍兴信息价优先，无信息价按市场价）并按中标下浮率下浮重新计算 ，经发包人或委托的咨询单位工程师审定执行。</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200" w:name="_Toc351203634"/>
      <w:r>
        <w:rPr>
          <w:rFonts w:hint="eastAsia" w:ascii="宋体" w:hAnsi="宋体" w:eastAsia="宋体" w:cs="宋体"/>
          <w:bCs/>
          <w:i w:val="0"/>
          <w:iCs w:val="0"/>
          <w:color w:val="auto"/>
          <w:kern w:val="2"/>
          <w:sz w:val="21"/>
          <w:szCs w:val="21"/>
          <w:highlight w:val="none"/>
        </w:rPr>
        <w:t>2</w:t>
      </w:r>
      <w:bookmarkStart w:id="201" w:name="_Toc296944496"/>
      <w:bookmarkStart w:id="202" w:name="_Toc296503157"/>
      <w:bookmarkStart w:id="203" w:name="_Toc297120457"/>
      <w:bookmarkStart w:id="204" w:name="_Toc292559362"/>
      <w:bookmarkStart w:id="205" w:name="_Toc297048343"/>
      <w:bookmarkStart w:id="206" w:name="_Toc296347156"/>
      <w:bookmarkStart w:id="207" w:name="_Toc296891197"/>
      <w:bookmarkStart w:id="208" w:name="_Toc296890985"/>
      <w:bookmarkStart w:id="209" w:name="_Toc292559867"/>
      <w:bookmarkStart w:id="210" w:name="_Toc296346658"/>
      <w:r>
        <w:rPr>
          <w:rFonts w:hint="eastAsia" w:ascii="宋体" w:hAnsi="宋体" w:eastAsia="宋体" w:cs="宋体"/>
          <w:bCs/>
          <w:i w:val="0"/>
          <w:iCs w:val="0"/>
          <w:color w:val="auto"/>
          <w:kern w:val="2"/>
          <w:sz w:val="21"/>
          <w:szCs w:val="21"/>
          <w:highlight w:val="none"/>
        </w:rPr>
        <w:t>. 发包人</w:t>
      </w:r>
      <w:bookmarkEnd w:id="200"/>
    </w:p>
    <w:bookmarkEnd w:id="201"/>
    <w:bookmarkEnd w:id="202"/>
    <w:bookmarkEnd w:id="203"/>
    <w:bookmarkEnd w:id="204"/>
    <w:bookmarkEnd w:id="205"/>
    <w:bookmarkEnd w:id="206"/>
    <w:bookmarkEnd w:id="207"/>
    <w:bookmarkEnd w:id="208"/>
    <w:bookmarkEnd w:id="209"/>
    <w:bookmarkEnd w:id="210"/>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2.2 发包人代表</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发包人代表：</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姓    名：</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身份证号：</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职    务：</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联系电话：</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电子信箱：</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通信地址：</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rPr>
          <w:rFonts w:hint="eastAsia" w:ascii="宋体" w:hAnsi="宋体" w:eastAsia="宋体" w:cs="宋体"/>
          <w:b/>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发包人对发包人代表的授权范围如下：</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color w:val="auto"/>
          <w:kern w:val="0"/>
          <w:sz w:val="21"/>
          <w:szCs w:val="21"/>
          <w:highlight w:val="none"/>
          <w:u w:val="single"/>
        </w:rPr>
        <w:t>代表发包人对本工程质量、进度、造价、安全、文明施工进行全面监督管理</w:t>
      </w:r>
      <w:r>
        <w:rPr>
          <w:rFonts w:hint="eastAsia" w:ascii="宋体" w:hAnsi="宋体" w:eastAsia="宋体" w:cs="宋体"/>
          <w:b/>
          <w:color w:val="auto"/>
          <w:kern w:val="0"/>
          <w:sz w:val="21"/>
          <w:szCs w:val="21"/>
          <w:highlight w:val="none"/>
          <w:u w:val="single"/>
          <w:lang w:eastAsia="zh-CN"/>
        </w:rPr>
        <w:t>，</w:t>
      </w:r>
      <w:r>
        <w:rPr>
          <w:rFonts w:hint="eastAsia" w:ascii="宋体" w:hAnsi="宋体" w:eastAsia="宋体" w:cs="宋体"/>
          <w:b/>
          <w:color w:val="auto"/>
          <w:sz w:val="21"/>
          <w:szCs w:val="21"/>
          <w:highlight w:val="none"/>
          <w:u w:val="single"/>
        </w:rPr>
        <w:t>所有发包人代表发出的指令需经发包人盖章确认后生效</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2.4 施工现场、施工条件和基础资料的提供</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2.4.1 提供施工现场</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关于发包人移交施工现场的期限要求：</w:t>
      </w:r>
      <w:r>
        <w:rPr>
          <w:rFonts w:hint="eastAsia" w:ascii="宋体" w:hAnsi="宋体" w:eastAsia="宋体" w:cs="宋体"/>
          <w:b/>
          <w:i w:val="0"/>
          <w:iCs w:val="0"/>
          <w:color w:val="auto"/>
          <w:kern w:val="0"/>
          <w:sz w:val="21"/>
          <w:szCs w:val="21"/>
          <w:highlight w:val="none"/>
          <w:u w:val="single"/>
        </w:rPr>
        <w:t>开工前</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2.4.2 提供施工条件</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关于发包人应负责提供施工所需要的条件，包括：</w:t>
      </w:r>
      <w:r>
        <w:rPr>
          <w:rFonts w:hint="eastAsia" w:ascii="宋体" w:hAnsi="宋体" w:eastAsia="宋体" w:cs="宋体"/>
          <w:b/>
          <w:bCs/>
          <w:iCs/>
          <w:color w:val="auto"/>
          <w:sz w:val="21"/>
          <w:szCs w:val="21"/>
          <w:highlight w:val="none"/>
          <w:u w:val="single"/>
        </w:rPr>
        <w:t>发包人负责将施工用电、施工用水接至施工现场内</w:t>
      </w:r>
      <w:r>
        <w:rPr>
          <w:rFonts w:hint="eastAsia" w:ascii="宋体" w:hAnsi="宋体" w:eastAsia="宋体" w:cs="宋体"/>
          <w:b/>
          <w:bCs/>
          <w:i w:val="0"/>
          <w:iCs w:val="0"/>
          <w:color w:val="auto"/>
          <w:sz w:val="21"/>
          <w:szCs w:val="21"/>
          <w:highlight w:val="none"/>
          <w:u w:val="single"/>
        </w:rPr>
        <w:t>，通讯线路由承包人自行申请接入；施工出入口由承包人负责办理，发包人协助并提供发包人有的相关资料</w:t>
      </w:r>
      <w:r>
        <w:rPr>
          <w:rFonts w:hint="eastAsia" w:ascii="宋体" w:hAnsi="宋体" w:eastAsia="宋体" w:cs="宋体"/>
          <w:b/>
          <w:bCs/>
          <w:i w:val="0"/>
          <w:iCs w:val="0"/>
          <w:color w:val="auto"/>
          <w:sz w:val="21"/>
          <w:szCs w:val="21"/>
          <w:highlight w:val="none"/>
          <w:u w:val="single"/>
          <w:lang w:eastAsia="zh-CN"/>
        </w:rPr>
        <w:t>，</w:t>
      </w:r>
      <w:r>
        <w:rPr>
          <w:rFonts w:hint="eastAsia" w:ascii="宋体" w:hAnsi="宋体" w:eastAsia="宋体" w:cs="宋体"/>
          <w:b/>
          <w:bCs/>
          <w:i w:val="0"/>
          <w:iCs w:val="0"/>
          <w:color w:val="auto"/>
          <w:sz w:val="21"/>
          <w:szCs w:val="21"/>
          <w:highlight w:val="none"/>
          <w:u w:val="single"/>
        </w:rPr>
        <w:t>由此产生的相关费用由承包人自行承担；发包人协调处理施工现场周围地下管线的保护工作，承包人承担相关费用</w:t>
      </w:r>
      <w:r>
        <w:rPr>
          <w:rFonts w:hint="eastAsia" w:ascii="宋体" w:hAnsi="宋体" w:eastAsia="宋体" w:cs="宋体"/>
          <w:i w:val="0"/>
          <w:iCs w:val="0"/>
          <w:color w:val="auto"/>
          <w:kern w:val="2"/>
          <w:sz w:val="21"/>
          <w:szCs w:val="21"/>
          <w:highlight w:val="none"/>
          <w:u w:val="single"/>
        </w:rPr>
        <w:t>　。</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2.5 资金来源证明及支付担保</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发包人提供资金来源证明的期限要求：</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发包人是否提供支付担保：</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是</w:t>
      </w:r>
      <w:r>
        <w:rPr>
          <w:rFonts w:hint="eastAsia" w:ascii="宋体" w:hAnsi="宋体" w:eastAsia="宋体" w:cs="宋体"/>
          <w:b/>
          <w:i w:val="0"/>
          <w:iCs w:val="0"/>
          <w:color w:val="auto"/>
          <w:sz w:val="21"/>
          <w:szCs w:val="21"/>
          <w:highlight w:val="none"/>
          <w:u w:val="singl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发包人提供支付担保的形式：</w:t>
      </w:r>
      <w:r>
        <w:rPr>
          <w:rFonts w:hint="eastAsia" w:ascii="宋体" w:hAnsi="宋体" w:eastAsia="宋体" w:cs="宋体"/>
          <w:b/>
          <w:bCs/>
          <w:iCs/>
          <w:color w:val="auto"/>
          <w:sz w:val="21"/>
          <w:szCs w:val="21"/>
          <w:highlight w:val="none"/>
          <w:u w:val="single"/>
        </w:rPr>
        <w:t>在承包人按合同条款第 3.7 条向发包人递交符合合同约定的履约担保的同时，发包人应当按照金额和条件对等的原则和规定的格式向承包人递交一份支付担保。支付担保的金额及有效期等按绍兴市人民政府第 87 号令规定执行。支付担保合同是本合同的从合同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211" w:name="_Toc351203635"/>
      <w:r>
        <w:rPr>
          <w:rFonts w:hint="eastAsia" w:ascii="宋体" w:hAnsi="宋体" w:eastAsia="宋体" w:cs="宋体"/>
          <w:bCs/>
          <w:i w:val="0"/>
          <w:iCs w:val="0"/>
          <w:color w:val="auto"/>
          <w:kern w:val="2"/>
          <w:sz w:val="21"/>
          <w:szCs w:val="21"/>
          <w:highlight w:val="none"/>
        </w:rPr>
        <w:t>3</w:t>
      </w:r>
      <w:bookmarkStart w:id="212" w:name="_Toc296891198"/>
      <w:bookmarkStart w:id="213" w:name="_Toc297120458"/>
      <w:bookmarkStart w:id="214" w:name="_Toc296347157"/>
      <w:bookmarkStart w:id="215" w:name="_Toc297048344"/>
      <w:bookmarkStart w:id="216" w:name="_Toc292559868"/>
      <w:bookmarkStart w:id="217" w:name="_Toc296503158"/>
      <w:bookmarkStart w:id="218" w:name="_Toc296890986"/>
      <w:bookmarkStart w:id="219" w:name="_Toc292559363"/>
      <w:bookmarkStart w:id="220" w:name="_Toc296944497"/>
      <w:bookmarkStart w:id="221" w:name="_Toc296346659"/>
      <w:r>
        <w:rPr>
          <w:rFonts w:hint="eastAsia" w:ascii="宋体" w:hAnsi="宋体" w:eastAsia="宋体" w:cs="宋体"/>
          <w:bCs/>
          <w:i w:val="0"/>
          <w:iCs w:val="0"/>
          <w:color w:val="auto"/>
          <w:kern w:val="2"/>
          <w:sz w:val="21"/>
          <w:szCs w:val="21"/>
          <w:highlight w:val="none"/>
        </w:rPr>
        <w:t>. 承包人</w:t>
      </w:r>
      <w:bookmarkEnd w:id="211"/>
    </w:p>
    <w:bookmarkEnd w:id="212"/>
    <w:bookmarkEnd w:id="213"/>
    <w:bookmarkEnd w:id="214"/>
    <w:bookmarkEnd w:id="215"/>
    <w:bookmarkEnd w:id="216"/>
    <w:bookmarkEnd w:id="217"/>
    <w:bookmarkEnd w:id="218"/>
    <w:bookmarkEnd w:id="219"/>
    <w:bookmarkEnd w:id="220"/>
    <w:bookmarkEnd w:id="221"/>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3.1 承包人的一般义务</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（9）</w:t>
      </w:r>
      <w:r>
        <w:rPr>
          <w:rFonts w:hint="eastAsia" w:ascii="宋体" w:hAnsi="宋体" w:eastAsia="宋体" w:cs="宋体"/>
          <w:i w:val="0"/>
          <w:iCs w:val="0"/>
          <w:color w:val="auto"/>
          <w:kern w:val="2"/>
          <w:sz w:val="21"/>
          <w:szCs w:val="21"/>
          <w:highlight w:val="none"/>
        </w:rPr>
        <w:t>承包人提交的竣工资料的内容：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按发包人和市城建档案馆要求。文件有冲突时按发包人发布文件执行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承包人需要提交的竣工资料套数：</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lang w:val="en-US" w:eastAsia="zh-CN"/>
        </w:rPr>
        <w:t>伍</w:t>
      </w:r>
      <w:r>
        <w:rPr>
          <w:rFonts w:hint="eastAsia" w:ascii="宋体" w:hAnsi="宋体" w:eastAsia="宋体" w:cs="宋体"/>
          <w:b/>
          <w:bCs/>
          <w:i w:val="0"/>
          <w:iCs w:val="0"/>
          <w:color w:val="auto"/>
          <w:sz w:val="21"/>
          <w:szCs w:val="21"/>
          <w:highlight w:val="none"/>
          <w:u w:val="single"/>
        </w:rPr>
        <w:t>份</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承包人提交的竣工资料的费用承担：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rPr>
        <w:t>由承包人承担（含需向城建档案馆缴纳的竣工资料归档费用，包括负责配套单位资料的收集、汇总、整理等产生的相关费用）</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承包人提交的竣工资料移交时间：</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竣工验收合格后30日内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承包人提交的竣工资料形式要求：</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按市城建档案馆要求完成组卷、装订、扫描等</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numPr>
          <w:ilvl w:val="0"/>
          <w:numId w:val="32"/>
        </w:numPr>
        <w:kinsoku/>
        <w:wordWrap/>
        <w:overflowPunct/>
        <w:topLinePunct w:val="0"/>
        <w:autoSpaceDE/>
        <w:autoSpaceDN/>
        <w:bidi w:val="0"/>
        <w:adjustRightInd/>
        <w:spacing w:line="440" w:lineRule="exact"/>
        <w:ind w:left="272" w:firstLine="448"/>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承包人应履行的其他义务：</w:t>
      </w:r>
      <w:r>
        <w:rPr>
          <w:rFonts w:hint="eastAsia" w:ascii="宋体" w:hAnsi="宋体" w:eastAsia="宋体" w:cs="宋体"/>
          <w:b/>
          <w:bCs/>
          <w:i w:val="0"/>
          <w:iCs w:val="0"/>
          <w:color w:val="auto"/>
          <w:sz w:val="21"/>
          <w:szCs w:val="21"/>
          <w:highlight w:val="none"/>
          <w:u w:val="single"/>
          <w:lang w:val="en-US" w:eastAsia="zh-CN" w:bidi="ar-SA"/>
        </w:rPr>
        <w:t>①承担施工安全保卫工作及非夜间施工照明的责任和要求：承包人应按建设行政管理部门和相关部门的要求，自费承担这些工作（如警卫）和提供相应设施，为保护公共安全提供方便；②需承包人办理的有关施工场地交通、环卫和施工噪音等手续：需要办理交通特别通行证时（包括渣土整治费等）、施工现场需要排放有害污水时、施工噪音超过当地环保部门的规定时，均由承包人办理相关手续，费用由承包人承担；③已完工程成品保护的特殊要求及费用承担：工程未经验收和交付使用前，承包方应负责已完工程的成品保护工作，如有损坏，应由承包人负责修复，并承担相应费用。因发包人原因在未验收前提前使用后发生损坏的，修复费用由发包人承担，工期相应顺延；④施工场地周围地下管线和邻近建筑物、构筑物（含文物保护建筑）、古树名木的保护要求及费用承担：保护工作由承包人负责，发包人给予配合、协助。相关费用由承包人承担；⑤施工场地清洁卫生的要求：承包人按建设行政主管部门和相关部门的规定办理，所需费用由承包人负担。分包范围内的保洁工作由分包人负责，总承包人负督促及连带责任，费用已包括在建安价款中，承包人承担因自身原因违反有关规定造成的损失和罚款；⑥本工程施工应做到文明施工，达到标化工地，做到临时建筑搭建有序、材料机具设备堆放整齐、生活污水处理后排放、生活垃圾袋装化、消防设施齐备，并服从发包人和社会管理部门的监督和管理；⑦承包人应派专人负责妥善处理因施工引起的、对相邻或周边的建筑物或环境的各种影响，并承担相关索赔费用。承包人所用的临时用房、施工现场用电、用水、排水、通讯、照明、临时围栏和现场标志、为完成本工程的临时用地等设施的修建、维修及拆除（恢复）等，由承包方办理，费用由承包方承担；⑧承包人应按法律规定和合同约定采取施工安全和环境保护措施，办理工伤保险，确保工程及其人员、材料、设备和设施的安全；防止因工程施工造成人身伤害和财产损失，承包人应对其履行合同所雇佣的全部人员，包括分包人人员的工伤事故承担责任。⑨承包人应将发包人支付的各项价款专用于本合同工程，且应及时支付其雇用人员工资，并及时向分包人支付合同价款，因承包人引起的一切劳务、经济纠纷由承包人承担相关法律责任。</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3.2 项目经理</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 xml:space="preserve">3.2.1 </w:t>
      </w:r>
      <w:r>
        <w:rPr>
          <w:rFonts w:hint="eastAsia" w:ascii="宋体" w:hAnsi="宋体" w:eastAsia="宋体" w:cs="宋体"/>
          <w:i w:val="0"/>
          <w:iCs w:val="0"/>
          <w:color w:val="auto"/>
          <w:kern w:val="2"/>
          <w:sz w:val="21"/>
          <w:szCs w:val="21"/>
          <w:highlight w:val="none"/>
        </w:rPr>
        <w:t>项目经理：</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姓    名：</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身份证号：</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建造师执业资格等级：</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建造师注册证书号：</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建造师执业印章号：</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安全生产考核合格证书号：</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联系电话：</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电子信箱：</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通信地址：</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承包人对项目经理的授权范围如下：</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关于项目经理每月在施工现场的时间要求：</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项目经理月到位率不低于80％，到位率和出勤率由发包人或授权的监理人给予考核。</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承包人未提交劳动合同，以及没有为项目经理缴纳社会保险证明的违约责任：</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按《通用条款》执行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sz w:val="21"/>
          <w:szCs w:val="21"/>
          <w:highlight w:val="none"/>
        </w:rPr>
        <w:t>项目经理未经批准，擅自离开施工现场的违约责任：</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按照专用条款补充内容执行</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3.2.3 承包人擅自更换项目经理的违约责任：</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按照专用条款补充内容执行。</w:t>
      </w:r>
    </w:p>
    <w:p>
      <w:pPr>
        <w:pageBreakBefore w:val="0"/>
        <w:kinsoku/>
        <w:wordWrap/>
        <w:overflowPunct/>
        <w:topLinePunct w:val="0"/>
        <w:autoSpaceDE/>
        <w:autoSpaceDN/>
        <w:bidi w:val="0"/>
        <w:adjustRightInd/>
        <w:spacing w:line="440" w:lineRule="exact"/>
        <w:ind w:firstLine="48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3.2.4 承包人无正当理由拒绝更换项目经理的违约责任：</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由此对发包人造成的工期延误和经济损失由承包人承担，情节严重的发包人有权终止合同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80"/>
        <w:jc w:val="both"/>
        <w:outlineLvl w:val="0"/>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3.2.5</w:t>
      </w:r>
      <w:r>
        <w:rPr>
          <w:rFonts w:hint="eastAsia" w:ascii="宋体" w:hAnsi="宋体" w:eastAsia="宋体" w:cs="宋体"/>
          <w:i w:val="0"/>
          <w:iCs w:val="0"/>
          <w:color w:val="auto"/>
          <w:kern w:val="0"/>
          <w:sz w:val="21"/>
          <w:szCs w:val="21"/>
          <w:highlight w:val="none"/>
        </w:rPr>
        <w:t>承包人为履行合同发出的函件要求：</w:t>
      </w:r>
      <w:r>
        <w:rPr>
          <w:rFonts w:hint="eastAsia" w:ascii="宋体" w:hAnsi="宋体" w:eastAsia="宋体" w:cs="宋体"/>
          <w:b/>
          <w:bCs/>
          <w:i w:val="0"/>
          <w:iCs w:val="0"/>
          <w:color w:val="auto"/>
          <w:sz w:val="21"/>
          <w:szCs w:val="21"/>
          <w:highlight w:val="none"/>
          <w:u w:val="single"/>
        </w:rPr>
        <w:t>承包人为履行合同发出的一切函件均应盖有承包人单位公章或技术章，并有承包人法人代表或中标项目经理签字或盖章</w:t>
      </w:r>
      <w:r>
        <w:rPr>
          <w:rFonts w:hint="eastAsia" w:ascii="宋体" w:hAnsi="宋体" w:eastAsia="宋体" w:cs="宋体"/>
          <w:b/>
          <w:i w:val="0"/>
          <w:iCs w:val="0"/>
          <w:color w:val="auto"/>
          <w:kern w:val="0"/>
          <w:sz w:val="21"/>
          <w:szCs w:val="21"/>
          <w:highlight w:val="none"/>
          <w:u w:val="single"/>
        </w:rPr>
        <w:t>。</w:t>
      </w:r>
      <w:r>
        <w:rPr>
          <w:rFonts w:hint="eastAsia" w:ascii="宋体" w:hAnsi="宋体" w:eastAsia="宋体" w:cs="宋体"/>
          <w:b/>
          <w:i w:val="0"/>
          <w:iCs w:val="0"/>
          <w:color w:val="auto"/>
          <w:kern w:val="0"/>
          <w:sz w:val="21"/>
          <w:szCs w:val="21"/>
          <w:highlight w:val="none"/>
          <w:u w:val="single"/>
          <w:lang w:val="en-US" w:eastAsia="zh-CN"/>
        </w:rPr>
        <w:t xml:space="preserve">         </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3.3 承包人人员</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3.3.1 承包人提交项目管理机构及施工现场管理人员安排报告的期限：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承包人应在开工前7天提交项目管理机构及施工现场管理人员安排报告，并承包人安排在施工场地的主要管理人员和技术骨干应与承包人投标时承诺的名单一致，并保持相对稳定。未经发包人及监理人批准，上述人员不应无故不到位或被替换；若确实无法到位或需替换需经监理人审核并报发包人批准后，用同等资质和经历的人员替换，并按相应条款</w:t>
      </w:r>
      <w:r>
        <w:rPr>
          <w:rFonts w:hint="eastAsia" w:ascii="宋体" w:hAnsi="宋体" w:eastAsia="宋体" w:cs="宋体"/>
          <w:b/>
          <w:color w:val="auto"/>
          <w:sz w:val="21"/>
          <w:szCs w:val="21"/>
          <w:highlight w:val="none"/>
          <w:u w:val="single"/>
        </w:rPr>
        <w:t>支付违约金</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3.3.3 承包人无正当理由拒绝撤换主要施工管理人员的违约责任：</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rPr>
        <w:t>按照专用条款补充内容执行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3.3.4 承包人主要施工管理人员离开施工现场的批准要求：</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rPr>
        <w:t>离开施工现场必须按发包人要求的管理措施取得书面批准并进行登记，否则，按违约处理</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3.3.5承包人擅自更换主要施工管理人员的违约责任：</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rPr>
        <w:t>按照专用条款补充内容执行</w:t>
      </w:r>
      <w:r>
        <w:rPr>
          <w:rFonts w:hint="eastAsia" w:ascii="宋体" w:hAnsi="宋体" w:eastAsia="宋体" w:cs="宋体"/>
          <w:i w:val="0"/>
          <w:iCs w:val="0"/>
          <w:color w:val="auto"/>
          <w:kern w:val="2"/>
          <w:sz w:val="21"/>
          <w:szCs w:val="21"/>
          <w:highlight w:val="none"/>
          <w:u w:val="single"/>
        </w:rPr>
        <w:t xml:space="preserve"> 。</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xml:space="preserve">承包人主要施工管理人员擅自离开施工现场的违约责任： </w:t>
      </w:r>
      <w:r>
        <w:rPr>
          <w:rFonts w:hint="eastAsia" w:ascii="宋体" w:hAnsi="宋体" w:eastAsia="宋体" w:cs="宋体"/>
          <w:b/>
          <w:i w:val="0"/>
          <w:iCs w:val="0"/>
          <w:color w:val="auto"/>
          <w:sz w:val="21"/>
          <w:szCs w:val="21"/>
          <w:highlight w:val="none"/>
          <w:u w:val="single"/>
        </w:rPr>
        <w:t>视作不到位，按专用合同条款21.2条执行</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w:t>
      </w:r>
      <w:bookmarkStart w:id="222" w:name="_Toc296890987"/>
      <w:bookmarkStart w:id="223" w:name="_Toc296503159"/>
      <w:bookmarkStart w:id="224" w:name="_Toc296347158"/>
      <w:bookmarkStart w:id="225" w:name="_Toc312677988"/>
      <w:bookmarkStart w:id="226" w:name="_Toc292559364"/>
      <w:bookmarkStart w:id="227" w:name="_Toc300934945"/>
      <w:bookmarkStart w:id="228" w:name="_Toc303539102"/>
      <w:bookmarkStart w:id="229" w:name="_Toc304295523"/>
      <w:bookmarkStart w:id="230" w:name="_Toc296891199"/>
      <w:bookmarkStart w:id="231" w:name="_Toc292559869"/>
      <w:bookmarkStart w:id="232" w:name="_Toc296944498"/>
      <w:bookmarkStart w:id="233" w:name="_Toc297048345"/>
      <w:bookmarkStart w:id="234" w:name="_Toc297216151"/>
      <w:bookmarkStart w:id="235" w:name="_Toc296346660"/>
      <w:bookmarkStart w:id="236" w:name="_Toc297123492"/>
      <w:bookmarkStart w:id="237" w:name="_Toc297120459"/>
      <w:r>
        <w:rPr>
          <w:rFonts w:hint="eastAsia" w:ascii="宋体" w:hAnsi="宋体" w:eastAsia="宋体" w:cs="宋体"/>
          <w:i w:val="0"/>
          <w:iCs w:val="0"/>
          <w:color w:val="auto"/>
          <w:kern w:val="2"/>
          <w:sz w:val="21"/>
          <w:szCs w:val="21"/>
          <w:highlight w:val="none"/>
        </w:rPr>
        <w:t>.5 分包</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w:t>
      </w:r>
      <w:bookmarkStart w:id="238" w:name="_Toc300934946"/>
      <w:bookmarkStart w:id="239" w:name="_Toc297048346"/>
      <w:bookmarkStart w:id="240" w:name="_Toc297120460"/>
      <w:bookmarkStart w:id="241" w:name="_Toc292559365"/>
      <w:bookmarkStart w:id="242" w:name="_Toc303539103"/>
      <w:bookmarkStart w:id="243" w:name="_Toc297216152"/>
      <w:bookmarkStart w:id="244" w:name="_Toc296944499"/>
      <w:bookmarkStart w:id="245" w:name="_Toc296890988"/>
      <w:bookmarkStart w:id="246" w:name="_Toc304295524"/>
      <w:bookmarkStart w:id="247" w:name="_Toc296347159"/>
      <w:bookmarkStart w:id="248" w:name="_Toc296346661"/>
      <w:bookmarkStart w:id="249" w:name="_Toc292559870"/>
      <w:bookmarkStart w:id="250" w:name="_Toc296503160"/>
      <w:bookmarkStart w:id="251" w:name="_Toc296891200"/>
      <w:bookmarkStart w:id="252" w:name="_Toc297123493"/>
      <w:bookmarkStart w:id="253" w:name="_Toc318581158"/>
      <w:bookmarkStart w:id="254" w:name="_Toc312677989"/>
      <w:r>
        <w:rPr>
          <w:rFonts w:hint="eastAsia" w:ascii="宋体" w:hAnsi="宋体" w:eastAsia="宋体" w:cs="宋体"/>
          <w:i w:val="0"/>
          <w:iCs w:val="0"/>
          <w:color w:val="auto"/>
          <w:kern w:val="2"/>
          <w:sz w:val="21"/>
          <w:szCs w:val="21"/>
          <w:highlight w:val="none"/>
        </w:rPr>
        <w:t>.5.1 分包的一般约定</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禁止分包的工程包括：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主体结构、关键性工作</w:t>
      </w:r>
      <w:r>
        <w:rPr>
          <w:rFonts w:hint="eastAsia" w:ascii="宋体" w:hAnsi="宋体" w:eastAsia="宋体" w:cs="宋体"/>
          <w:i w:val="0"/>
          <w:iCs w:val="0"/>
          <w:color w:val="auto"/>
          <w:sz w:val="21"/>
          <w:szCs w:val="21"/>
          <w:highlight w:val="none"/>
          <w:u w:val="single"/>
        </w:rPr>
        <w:t>。</w:t>
      </w:r>
      <w:r>
        <w:rPr>
          <w:rFonts w:hint="eastAsia" w:ascii="宋体" w:hAnsi="宋体" w:eastAsia="宋体" w:cs="宋体"/>
          <w:b/>
          <w:i w:val="0"/>
          <w:iCs w:val="0"/>
          <w:color w:val="auto"/>
          <w:sz w:val="21"/>
          <w:szCs w:val="21"/>
          <w:highlight w:val="none"/>
          <w:u w:val="single"/>
        </w:rPr>
        <w:t>未经发包人同意，承包人一律不得分包、转包，否则发包人有权解除工程承包合同，并由承包人承担违约责任</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主体结构、关键性工作的范围：</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sz w:val="21"/>
          <w:szCs w:val="21"/>
          <w:highlight w:val="none"/>
          <w:u w:val="single"/>
        </w:rPr>
        <w:t>桩基工程、地下室结构工程、主体结构工程</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Start w:id="255" w:name="_Toc297048347"/>
      <w:bookmarkStart w:id="256" w:name="_Toc297120461"/>
      <w:bookmarkStart w:id="257" w:name="_Toc297123494"/>
      <w:bookmarkStart w:id="258" w:name="_Toc296891201"/>
      <w:bookmarkStart w:id="259" w:name="_Toc297216153"/>
      <w:bookmarkStart w:id="260" w:name="_Toc300934947"/>
      <w:bookmarkStart w:id="261" w:name="_Toc304295525"/>
      <w:bookmarkStart w:id="262" w:name="_Toc296890989"/>
      <w:bookmarkStart w:id="263" w:name="_Toc296944500"/>
      <w:bookmarkStart w:id="264" w:name="_Toc296346662"/>
      <w:bookmarkStart w:id="265" w:name="_Toc303539104"/>
      <w:bookmarkStart w:id="266" w:name="_Toc296347160"/>
      <w:bookmarkStart w:id="267" w:name="_Toc296503161"/>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Pr>
        <w:pageBreakBefore w:val="0"/>
        <w:kinsoku/>
        <w:wordWrap/>
        <w:overflowPunct/>
        <w:topLinePunct w:val="0"/>
        <w:autoSpaceDE/>
        <w:autoSpaceDN/>
        <w:bidi w:val="0"/>
        <w:adjustRightInd/>
        <w:spacing w:line="440" w:lineRule="exact"/>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xml:space="preserve">    3</w:t>
      </w:r>
      <w:bookmarkStart w:id="268" w:name="_Toc318581159"/>
      <w:bookmarkStart w:id="269" w:name="_Toc312677990"/>
      <w:r>
        <w:rPr>
          <w:rFonts w:hint="eastAsia" w:ascii="宋体" w:hAnsi="宋体" w:eastAsia="宋体" w:cs="宋体"/>
          <w:i w:val="0"/>
          <w:iCs w:val="0"/>
          <w:color w:val="auto"/>
          <w:kern w:val="2"/>
          <w:sz w:val="21"/>
          <w:szCs w:val="21"/>
          <w:highlight w:val="none"/>
        </w:rPr>
        <w:t>.5.2分包的确定</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允许分包的专业工程包括：</w:t>
      </w:r>
      <w:r>
        <w:rPr>
          <w:rFonts w:hint="eastAsia" w:ascii="宋体" w:hAnsi="宋体" w:eastAsia="宋体" w:cs="宋体"/>
          <w:b/>
          <w:i w:val="0"/>
          <w:iCs w:val="0"/>
          <w:color w:val="auto"/>
          <w:sz w:val="21"/>
          <w:szCs w:val="21"/>
          <w:highlight w:val="none"/>
          <w:u w:val="single"/>
        </w:rPr>
        <w:t>非主体结构、非关键工作承包人可以根据自身实际按照《房屋建筑和市政基础设施工程施工分包管理办法》（建设部令124号）的要求选择分包人，但发包人不支付专业发包工程管理费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其他关于分包的约定：</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3.5.4 分包合同价款</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关于分包合同价款支付的约定：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268"/>
    <w:bookmarkEnd w:id="269"/>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3.6 工程照管与成品、半成品保护</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承包人负责照管工程及工程相关的材料、工程设备的起始时间：</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rPr>
        <w:t>自工程开始至工程竣工验收合格后移交发包人</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3.7 履约担保</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承包人是否提供履约担保：</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是</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firstLine="420"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i w:val="0"/>
          <w:iCs w:val="0"/>
          <w:color w:val="auto"/>
          <w:kern w:val="2"/>
          <w:sz w:val="21"/>
          <w:szCs w:val="21"/>
          <w:highlight w:val="none"/>
        </w:rPr>
        <w:t>承包人提供履约担保的形式、金额及期限的：</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color w:val="auto"/>
          <w:sz w:val="21"/>
          <w:szCs w:val="21"/>
          <w:highlight w:val="none"/>
          <w:u w:val="single"/>
          <w:lang w:val="en-US" w:eastAsia="zh-CN"/>
        </w:rPr>
        <w:t xml:space="preserve">承包人向发包人提供合同价款2%的履约担保（履约保证金），担保形式可采用现金、支票、转账、汇票、工程保函（包括银行保函、保险机构保证保险保单）等形式缴纳，带工程竣工验收合格后10天内退还（不计息） </w:t>
      </w:r>
    </w:p>
    <w:p>
      <w:pPr>
        <w:pageBreakBefore w:val="0"/>
        <w:kinsoku/>
        <w:wordWrap/>
        <w:overflowPunct/>
        <w:topLinePunct w:val="0"/>
        <w:bidi w:val="0"/>
        <w:spacing w:line="440" w:lineRule="exact"/>
        <w:ind w:firstLine="527" w:firstLineChars="250"/>
        <w:jc w:val="left"/>
        <w:rPr>
          <w:rFonts w:hint="eastAsia" w:ascii="宋体" w:hAnsi="宋体" w:eastAsia="宋体" w:cs="宋体"/>
          <w:i w:val="0"/>
          <w:iCs w:val="0"/>
          <w:color w:val="auto"/>
          <w:sz w:val="21"/>
          <w:szCs w:val="21"/>
          <w:highlight w:val="none"/>
        </w:rPr>
      </w:pPr>
      <w:r>
        <w:rPr>
          <w:rFonts w:hint="eastAsia" w:ascii="宋体" w:hAnsi="宋体" w:eastAsia="宋体" w:cs="宋体"/>
          <w:b/>
          <w:bCs w:val="0"/>
          <w:color w:val="auto"/>
          <w:kern w:val="0"/>
          <w:sz w:val="21"/>
          <w:szCs w:val="21"/>
          <w:highlight w:val="none"/>
          <w:u w:val="single"/>
          <w:lang w:val="en-US" w:eastAsia="zh-CN" w:bidi="ar-SA"/>
        </w:rPr>
        <w:t>备注：若采用保险公司保函，出具保险保函的保险公司应符合《关于推荐建筑施工领域安全生产责任保险制度的实施意见》（绍市建筑【2021】24号）文件的规定。</w:t>
      </w:r>
      <w:r>
        <w:rPr>
          <w:rFonts w:hint="eastAsia" w:ascii="宋体" w:hAnsi="宋体" w:eastAsia="宋体" w:cs="宋体"/>
          <w:i w:val="0"/>
          <w:iCs w:val="0"/>
          <w:color w:val="auto"/>
          <w:sz w:val="21"/>
          <w:szCs w:val="21"/>
          <w:highlight w:val="none"/>
        </w:rPr>
        <w:t>3.7.1 承包人履约担保格式和金额根据本招标文件规定执行。本项目履约担保的金额为</w:t>
      </w:r>
      <w:r>
        <w:rPr>
          <w:rFonts w:hint="eastAsia" w:ascii="宋体" w:hAnsi="宋体" w:eastAsia="宋体" w:cs="宋体"/>
          <w:b/>
          <w:i w:val="0"/>
          <w:iCs w:val="0"/>
          <w:color w:val="auto"/>
          <w:sz w:val="21"/>
          <w:szCs w:val="21"/>
          <w:highlight w:val="none"/>
          <w:u w:val="single"/>
        </w:rPr>
        <w:t xml:space="preserve">合同价的2％ </w:t>
      </w:r>
      <w:r>
        <w:rPr>
          <w:rFonts w:hint="eastAsia" w:ascii="宋体" w:hAnsi="宋体" w:eastAsia="宋体" w:cs="宋体"/>
          <w:i w:val="0"/>
          <w:iCs w:val="0"/>
          <w:color w:val="auto"/>
          <w:sz w:val="21"/>
          <w:szCs w:val="21"/>
          <w:highlight w:val="none"/>
        </w:rPr>
        <w:t>。</w:t>
      </w:r>
    </w:p>
    <w:p>
      <w:pPr>
        <w:pageBreakBefore w:val="0"/>
        <w:kinsoku/>
        <w:wordWrap/>
        <w:overflowPunct/>
        <w:topLinePunct w:val="0"/>
        <w:bidi w:val="0"/>
        <w:spacing w:line="440" w:lineRule="exact"/>
        <w:ind w:firstLine="630" w:firstLineChars="3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3.7.2 履约担保的有效期</w:t>
      </w:r>
    </w:p>
    <w:p>
      <w:pPr>
        <w:pageBreakBefore w:val="0"/>
        <w:kinsoku/>
        <w:wordWrap/>
        <w:overflowPunct/>
        <w:topLinePunct w:val="0"/>
        <w:bidi w:val="0"/>
        <w:spacing w:line="440" w:lineRule="exact"/>
        <w:ind w:firstLine="316" w:firstLineChars="150"/>
        <w:jc w:val="left"/>
        <w:rPr>
          <w:rFonts w:hint="eastAsia" w:ascii="宋体" w:hAnsi="宋体" w:eastAsia="宋体" w:cs="宋体"/>
          <w:b/>
          <w:bCs/>
          <w:i w:val="0"/>
          <w:iCs w:val="0"/>
          <w:color w:val="auto"/>
          <w:kern w:val="0"/>
          <w:sz w:val="21"/>
          <w:szCs w:val="21"/>
          <w:highlight w:val="none"/>
          <w:u w:val="single"/>
        </w:rPr>
      </w:pPr>
      <w:r>
        <w:rPr>
          <w:rFonts w:hint="eastAsia" w:ascii="宋体" w:hAnsi="宋体" w:eastAsia="宋体" w:cs="宋体"/>
          <w:b/>
          <w:bCs/>
          <w:i w:val="0"/>
          <w:iCs w:val="0"/>
          <w:color w:val="auto"/>
          <w:kern w:val="0"/>
          <w:sz w:val="21"/>
          <w:szCs w:val="21"/>
          <w:highlight w:val="none"/>
          <w:u w:val="single"/>
          <w:lang w:val="en-US" w:eastAsia="zh-CN"/>
        </w:rPr>
        <w:t xml:space="preserve">  </w:t>
      </w:r>
      <w:r>
        <w:rPr>
          <w:rFonts w:hint="eastAsia" w:ascii="宋体" w:hAnsi="宋体" w:eastAsia="宋体" w:cs="宋体"/>
          <w:b/>
          <w:bCs/>
          <w:i w:val="0"/>
          <w:iCs w:val="0"/>
          <w:color w:val="auto"/>
          <w:kern w:val="0"/>
          <w:sz w:val="21"/>
          <w:szCs w:val="21"/>
          <w:highlight w:val="none"/>
          <w:u w:val="single"/>
        </w:rPr>
        <w:t>发包人需要承包人提供履约担保的，承包人应当在合同签订前按招标文件规定向发包人提交履约担保，履约担保可以采用</w:t>
      </w:r>
      <w:r>
        <w:rPr>
          <w:rFonts w:hint="eastAsia" w:ascii="宋体" w:hAnsi="宋体" w:eastAsia="宋体" w:cs="宋体"/>
          <w:b/>
          <w:color w:val="auto"/>
          <w:sz w:val="21"/>
          <w:szCs w:val="21"/>
          <w:highlight w:val="none"/>
          <w:u w:val="single"/>
          <w:lang w:val="en-US" w:eastAsia="zh-CN"/>
        </w:rPr>
        <w:t>现金、支票、转账、汇票、工程保函（包括银行保函、保险机构保证保险保单）等形式缴纳</w:t>
      </w:r>
      <w:r>
        <w:rPr>
          <w:rFonts w:hint="eastAsia" w:ascii="宋体" w:hAnsi="宋体" w:eastAsia="宋体" w:cs="宋体"/>
          <w:b/>
          <w:bCs/>
          <w:i w:val="0"/>
          <w:iCs w:val="0"/>
          <w:color w:val="auto"/>
          <w:kern w:val="0"/>
          <w:sz w:val="21"/>
          <w:szCs w:val="21"/>
          <w:highlight w:val="none"/>
          <w:u w:val="single"/>
        </w:rPr>
        <w:t>。</w:t>
      </w:r>
    </w:p>
    <w:p>
      <w:pPr>
        <w:pageBreakBefore w:val="0"/>
        <w:kinsoku/>
        <w:wordWrap/>
        <w:overflowPunct/>
        <w:topLinePunct w:val="0"/>
        <w:bidi w:val="0"/>
        <w:spacing w:line="440" w:lineRule="exact"/>
        <w:ind w:firstLine="422" w:firstLineChars="200"/>
        <w:jc w:val="left"/>
        <w:rPr>
          <w:rFonts w:hint="eastAsia" w:ascii="宋体" w:hAnsi="宋体" w:eastAsia="宋体" w:cs="宋体"/>
          <w:b/>
          <w:i w:val="0"/>
          <w:iCs w:val="0"/>
          <w:color w:val="auto"/>
          <w:sz w:val="21"/>
          <w:szCs w:val="21"/>
          <w:highlight w:val="none"/>
          <w:u w:val="single"/>
        </w:rPr>
      </w:pPr>
      <w:r>
        <w:rPr>
          <w:rFonts w:hint="eastAsia" w:ascii="宋体" w:hAnsi="宋体" w:eastAsia="宋体" w:cs="宋体"/>
          <w:b/>
          <w:bCs/>
          <w:i w:val="0"/>
          <w:iCs w:val="0"/>
          <w:color w:val="auto"/>
          <w:kern w:val="0"/>
          <w:sz w:val="21"/>
          <w:szCs w:val="21"/>
          <w:highlight w:val="none"/>
          <w:u w:val="single"/>
        </w:rPr>
        <w:t xml:space="preserve"> 承包人应保证其履约担保在发包人工程竣工验收或工程接收证书前一直有效，履约保证金的有效期应持续至发包人工程竣工验收或工程接收证书后</w:t>
      </w:r>
      <w:r>
        <w:rPr>
          <w:rFonts w:hint="eastAsia" w:ascii="宋体" w:hAnsi="宋体" w:eastAsia="宋体" w:cs="宋体"/>
          <w:b/>
          <w:bCs/>
          <w:i w:val="0"/>
          <w:iCs w:val="0"/>
          <w:color w:val="auto"/>
          <w:kern w:val="0"/>
          <w:sz w:val="21"/>
          <w:szCs w:val="21"/>
          <w:highlight w:val="none"/>
          <w:u w:val="single"/>
          <w:lang w:val="en-US" w:eastAsia="zh-CN"/>
        </w:rPr>
        <w:t>10</w:t>
      </w:r>
      <w:r>
        <w:rPr>
          <w:rFonts w:hint="eastAsia" w:ascii="宋体" w:hAnsi="宋体" w:eastAsia="宋体" w:cs="宋体"/>
          <w:b/>
          <w:bCs/>
          <w:i w:val="0"/>
          <w:iCs w:val="0"/>
          <w:color w:val="auto"/>
          <w:kern w:val="0"/>
          <w:sz w:val="21"/>
          <w:szCs w:val="21"/>
          <w:highlight w:val="none"/>
          <w:u w:val="single"/>
        </w:rPr>
        <w:t>日，若因变更指令或索赔等原因致使前述日期延后，则承包人应无条件顺延履约保证金的有效期。若银行出具的履约保函记载的有效期先于前述日期到期的，承包人应在履约保函到期前无条件顺延履约保函的有效期或按照原保函格式重新提供新保函，并应在履约保函到期前30日将银行出具的顺延履约保函的正式文书或符合本合同要求的新保函提供给发包人，由此发生的费用包含在合同价款中。若发生中标单位未及时更换或延续履约保函，则根据其实际延期时间对其处以需缴纳的工程履约保证金额*人民银行同期（三年~五年（含）期）贷款基准利率3倍的违约金。 若在工程合同期间因承包人原因导致扣除履约保证金的，则按剩余履约金退还给承包人。</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270" w:name="_Toc351203636"/>
      <w:r>
        <w:rPr>
          <w:rFonts w:hint="eastAsia" w:ascii="宋体" w:hAnsi="宋体" w:eastAsia="宋体" w:cs="宋体"/>
          <w:bCs/>
          <w:i w:val="0"/>
          <w:iCs w:val="0"/>
          <w:color w:val="auto"/>
          <w:kern w:val="2"/>
          <w:sz w:val="21"/>
          <w:szCs w:val="21"/>
          <w:highlight w:val="none"/>
        </w:rPr>
        <w:t>4</w:t>
      </w:r>
      <w:bookmarkStart w:id="271" w:name="_Toc296890990"/>
      <w:bookmarkStart w:id="272" w:name="_Toc297120462"/>
      <w:bookmarkStart w:id="273" w:name="_Toc296944501"/>
      <w:bookmarkStart w:id="274" w:name="_Toc296503162"/>
      <w:bookmarkStart w:id="275" w:name="_Toc296346663"/>
      <w:bookmarkStart w:id="276" w:name="_Toc296891202"/>
      <w:bookmarkStart w:id="277" w:name="_Toc296347161"/>
      <w:bookmarkStart w:id="278" w:name="_Toc267251413"/>
      <w:bookmarkStart w:id="279" w:name="_Toc297048348"/>
      <w:bookmarkStart w:id="280" w:name="_Toc292559871"/>
      <w:bookmarkStart w:id="281" w:name="_Toc292559366"/>
      <w:r>
        <w:rPr>
          <w:rFonts w:hint="eastAsia" w:ascii="宋体" w:hAnsi="宋体" w:eastAsia="宋体" w:cs="宋体"/>
          <w:bCs/>
          <w:i w:val="0"/>
          <w:iCs w:val="0"/>
          <w:color w:val="auto"/>
          <w:kern w:val="2"/>
          <w:sz w:val="21"/>
          <w:szCs w:val="21"/>
          <w:highlight w:val="none"/>
        </w:rPr>
        <w:t>. 监</w:t>
      </w:r>
      <w:bookmarkEnd w:id="271"/>
      <w:bookmarkEnd w:id="272"/>
      <w:bookmarkEnd w:id="273"/>
      <w:bookmarkEnd w:id="274"/>
      <w:bookmarkEnd w:id="275"/>
      <w:bookmarkEnd w:id="276"/>
      <w:bookmarkEnd w:id="277"/>
      <w:bookmarkEnd w:id="278"/>
      <w:bookmarkEnd w:id="279"/>
      <w:bookmarkEnd w:id="280"/>
      <w:bookmarkEnd w:id="281"/>
      <w:r>
        <w:rPr>
          <w:rFonts w:hint="eastAsia" w:ascii="宋体" w:hAnsi="宋体" w:eastAsia="宋体" w:cs="宋体"/>
          <w:bCs/>
          <w:i w:val="0"/>
          <w:iCs w:val="0"/>
          <w:color w:val="auto"/>
          <w:kern w:val="2"/>
          <w:sz w:val="21"/>
          <w:szCs w:val="21"/>
          <w:highlight w:val="none"/>
        </w:rPr>
        <w:t>理人</w:t>
      </w:r>
      <w:bookmarkEnd w:id="270"/>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4.1监理人的一般规定</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关于监理人的监理内容：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承担工程全过程监理任务。包括工程进度、质量、造价控制，安全文明生产管理，合同管理，现场组织协调等</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关于监理人的监理权限：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根据发包人与监理单位监理合同的约定：需要取得发包人另行书面批准，监理人才能行使的职权：联系单签证及价格签证、单价的合理调整、变更估价、工程款支付；索赔处理；发布开工令、停工令、复工令；对承包人合同规定的义务提出变更等</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 xml:space="preserve">。 </w:t>
      </w:r>
    </w:p>
    <w:p>
      <w:pPr>
        <w:pageBreakBefore w:val="0"/>
        <w:kinsoku/>
        <w:wordWrap/>
        <w:overflowPunct/>
        <w:topLinePunct w:val="0"/>
        <w:autoSpaceDE/>
        <w:autoSpaceDN/>
        <w:bidi w:val="0"/>
        <w:adjustRightInd/>
        <w:spacing w:line="440" w:lineRule="exact"/>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关于监理人在施工现场的办公场所、生活场所的提供和费用承担的约定：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4.2 监理人员</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总监理工程师：</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姓    名：</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职    务：</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监理工程师执业资格证书号：</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联系电话：</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电子信箱：</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通信地址：</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关于监理人的其他约定：</w:t>
      </w:r>
      <w:r>
        <w:rPr>
          <w:rFonts w:hint="eastAsia" w:ascii="宋体" w:hAnsi="宋体" w:eastAsia="宋体" w:cs="宋体"/>
          <w:i w:val="0"/>
          <w:iCs w:val="0"/>
          <w:color w:val="auto"/>
          <w:kern w:val="2"/>
          <w:sz w:val="21"/>
          <w:szCs w:val="21"/>
          <w:highlight w:val="none"/>
          <w:u w:val="single"/>
        </w:rPr>
        <w:t></w:t>
      </w:r>
      <w:r>
        <w:rPr>
          <w:rFonts w:hint="eastAsia" w:ascii="宋体" w:hAnsi="宋体" w:eastAsia="宋体" w:cs="宋体"/>
          <w:b/>
          <w:i w:val="0"/>
          <w:iCs w:val="0"/>
          <w:color w:val="auto"/>
          <w:kern w:val="0"/>
          <w:sz w:val="21"/>
          <w:szCs w:val="21"/>
          <w:highlight w:val="none"/>
          <w:u w:val="single"/>
        </w:rPr>
        <w:t>合同签订时明确</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4.4 商定或确定</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bookmarkStart w:id="282" w:name="_Toc267251418"/>
      <w:r>
        <w:rPr>
          <w:rFonts w:hint="eastAsia" w:ascii="宋体" w:hAnsi="宋体" w:eastAsia="宋体" w:cs="宋体"/>
          <w:i w:val="0"/>
          <w:iCs w:val="0"/>
          <w:color w:val="auto"/>
          <w:kern w:val="2"/>
          <w:sz w:val="21"/>
          <w:szCs w:val="21"/>
          <w:highlight w:val="none"/>
        </w:rPr>
        <w:t>在发包人和承包人不能通过协商达成一致意见时，发包人授权监理人对以下事项进行确定：</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283" w:name="_Toc351203637"/>
      <w:r>
        <w:rPr>
          <w:rFonts w:hint="eastAsia" w:ascii="宋体" w:hAnsi="宋体" w:eastAsia="宋体" w:cs="宋体"/>
          <w:bCs/>
          <w:i w:val="0"/>
          <w:iCs w:val="0"/>
          <w:color w:val="auto"/>
          <w:kern w:val="2"/>
          <w:sz w:val="21"/>
          <w:szCs w:val="21"/>
          <w:highlight w:val="none"/>
        </w:rPr>
        <w:t>5</w:t>
      </w:r>
      <w:bookmarkEnd w:id="282"/>
      <w:bookmarkStart w:id="284" w:name="_Toc296944502"/>
      <w:bookmarkStart w:id="285" w:name="_Toc297120463"/>
      <w:bookmarkStart w:id="286" w:name="_Toc296347162"/>
      <w:bookmarkStart w:id="287" w:name="_Toc292559872"/>
      <w:bookmarkStart w:id="288" w:name="_Toc296891203"/>
      <w:bookmarkStart w:id="289" w:name="_Toc296890991"/>
      <w:bookmarkStart w:id="290" w:name="_Toc292559367"/>
      <w:bookmarkStart w:id="291" w:name="_Toc296503163"/>
      <w:bookmarkStart w:id="292" w:name="_Toc296346664"/>
      <w:bookmarkStart w:id="293" w:name="_Toc297048349"/>
      <w:r>
        <w:rPr>
          <w:rFonts w:hint="eastAsia" w:ascii="宋体" w:hAnsi="宋体" w:eastAsia="宋体" w:cs="宋体"/>
          <w:bCs/>
          <w:i w:val="0"/>
          <w:iCs w:val="0"/>
          <w:color w:val="auto"/>
          <w:kern w:val="2"/>
          <w:sz w:val="21"/>
          <w:szCs w:val="21"/>
          <w:highlight w:val="none"/>
        </w:rPr>
        <w:t>. 工程质量</w:t>
      </w:r>
      <w:bookmarkEnd w:id="283"/>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5.1 质量要求</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5</w:t>
      </w:r>
      <w:bookmarkStart w:id="294" w:name="_Toc304295527"/>
      <w:bookmarkStart w:id="295" w:name="_Toc318581164"/>
      <w:bookmarkStart w:id="296" w:name="_Toc303539106"/>
      <w:bookmarkStart w:id="297" w:name="_Toc297123496"/>
      <w:bookmarkStart w:id="298" w:name="_Toc300934949"/>
      <w:bookmarkStart w:id="299" w:name="_Toc297216155"/>
      <w:bookmarkStart w:id="300" w:name="_Toc312677997"/>
      <w:r>
        <w:rPr>
          <w:rFonts w:hint="eastAsia" w:ascii="宋体" w:hAnsi="宋体" w:eastAsia="宋体" w:cs="宋体"/>
          <w:i w:val="0"/>
          <w:iCs w:val="0"/>
          <w:color w:val="auto"/>
          <w:kern w:val="2"/>
          <w:sz w:val="21"/>
          <w:szCs w:val="21"/>
          <w:highlight w:val="none"/>
        </w:rPr>
        <w:t>.1.1 特殊质量标准和要求：</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rPr>
        <w:t>工程实现确保“兰花杯”，争创“钱江杯”的目标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firstLine="420" w:firstLineChars="200"/>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关于工程奖项的约定：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兰花杯未能确保的处以违约金</w:t>
      </w:r>
      <w:r>
        <w:rPr>
          <w:rFonts w:hint="eastAsia" w:ascii="宋体" w:hAnsi="宋体" w:eastAsia="宋体" w:cs="宋体"/>
          <w:b/>
          <w:i w:val="0"/>
          <w:iCs w:val="0"/>
          <w:color w:val="auto"/>
          <w:sz w:val="21"/>
          <w:szCs w:val="21"/>
          <w:highlight w:val="none"/>
          <w:u w:val="single"/>
          <w:lang w:val="en-US" w:eastAsia="zh-CN"/>
        </w:rPr>
        <w:t>10</w:t>
      </w:r>
      <w:r>
        <w:rPr>
          <w:rFonts w:hint="eastAsia" w:ascii="宋体" w:hAnsi="宋体" w:eastAsia="宋体" w:cs="宋体"/>
          <w:b/>
          <w:i w:val="0"/>
          <w:iCs w:val="0"/>
          <w:color w:val="auto"/>
          <w:sz w:val="21"/>
          <w:szCs w:val="21"/>
          <w:highlight w:val="none"/>
          <w:u w:val="single"/>
        </w:rPr>
        <w:t>0万，钱江杯争创成功的奖励50万，如争创成功鲁班奖的奖励100万，以上奖励不重复计取。</w:t>
      </w:r>
    </w:p>
    <w:p>
      <w:pPr>
        <w:pageBreakBefore w:val="0"/>
        <w:kinsoku/>
        <w:wordWrap/>
        <w:overflowPunct/>
        <w:topLinePunct w:val="0"/>
        <w:bidi w:val="0"/>
        <w:spacing w:line="440" w:lineRule="exact"/>
        <w:ind w:firstLine="422" w:firstLineChars="200"/>
        <w:jc w:val="left"/>
        <w:rPr>
          <w:rFonts w:hint="eastAsia" w:ascii="宋体" w:hAnsi="宋体" w:eastAsia="宋体" w:cs="宋体"/>
          <w:b/>
          <w:bCs/>
          <w:i w:val="0"/>
          <w:iCs w:val="0"/>
          <w:color w:val="auto"/>
          <w:sz w:val="21"/>
          <w:szCs w:val="21"/>
          <w:highlight w:val="none"/>
          <w:u w:val="single"/>
        </w:rPr>
      </w:pPr>
      <w:r>
        <w:rPr>
          <w:rFonts w:hint="eastAsia" w:ascii="宋体" w:hAnsi="宋体" w:eastAsia="宋体" w:cs="宋体"/>
          <w:b/>
          <w:i w:val="0"/>
          <w:iCs w:val="0"/>
          <w:color w:val="auto"/>
          <w:sz w:val="21"/>
          <w:szCs w:val="21"/>
          <w:highlight w:val="none"/>
        </w:rPr>
        <w:t>关于工程质量不合格的约定：</w:t>
      </w:r>
      <w:r>
        <w:rPr>
          <w:rFonts w:hint="eastAsia" w:ascii="宋体" w:hAnsi="宋体" w:eastAsia="宋体" w:cs="宋体"/>
          <w:b/>
          <w:bCs/>
          <w:i w:val="0"/>
          <w:iCs w:val="0"/>
          <w:color w:val="auto"/>
          <w:sz w:val="21"/>
          <w:szCs w:val="21"/>
          <w:highlight w:val="none"/>
          <w:u w:val="single"/>
        </w:rPr>
        <w:t>工程竣工验收时，其工程质量未达到合同约定的，发包人有权要求承包人在合理期限内无偿修理或返工、改建直至工程质量达到规范要求，因修理或者返工、改建造成工期逾期交付的，承包人应承担违约责任。承包人拒绝修理、返工、改建或修理、返工、改建后仍未达到合同约定的，发包人有权拒付工程款，由此造成损失由承包人承担。</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其中绿化部分特别强调如下： </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该绿化工程所需花草苗木，必须生长健壮，无病虫害，无机械或人为损伤，树形端正形状好，根系完整、发达带泥球，草坪种植必须平整、满铺，图纸明确需黄土的应采用黄土铺面。绿化工程须经甲方及有关质监部门验收合格为准（部分乔木及大类品种，甲方将派员先期到前原种植所在现场踏看认可后，再运至施工现场种植）。苗木须有植物检疫证书。</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2、该工程所用全部苗木皆需全冠，种植前的修剪必须仍旧保持冠形完整，如成活后树冠有较大缺损的(树冠缺损1/3及以上或一级主枝枯死1/4及以上)，乙方必须无条件调换该苗木</w:t>
      </w:r>
    </w:p>
    <w:p>
      <w:pPr>
        <w:pStyle w:val="32"/>
        <w:keepNext/>
        <w:keepLines/>
        <w:pageBreakBefore w:val="0"/>
        <w:widowControl w:val="0"/>
        <w:kinsoku/>
        <w:wordWrap/>
        <w:overflowPunct/>
        <w:topLinePunct w:val="0"/>
        <w:autoSpaceDE w:val="0"/>
        <w:autoSpaceDN w:val="0"/>
        <w:bidi w:val="0"/>
        <w:adjustRightInd w:val="0"/>
        <w:snapToGrid/>
        <w:spacing w:before="0" w:after="0" w:line="440" w:lineRule="exact"/>
        <w:ind w:left="0" w:leftChars="0" w:right="0" w:rightChars="0" w:firstLine="420" w:firstLineChars="200"/>
        <w:jc w:val="left"/>
        <w:textAlignment w:val="baseline"/>
        <w:outlineLvl w:val="9"/>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3、Φ18cm及以上大树须经设计、监理、全过程造价咨询单位三方组成的验收小组逐棵验收，三方确认后方可结算（其余乔木分批验收），若不能通过验收的苗木将予以退回。</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如种植苗木的规格未达到设计要求和甲方要求的，施工单位应无偿返工至设计要求和甲方要求，所发生的费用均有施工单位承担。如更换后仍未达到要求的，则甲方有权不支付相关工程款并没收履约保证金，直至终止合同。</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、土方造型完成后必须经验收后才可进入下道工序施工。</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6、地被、灌木种植前须先验收黄土铺设完好情况；并须统一放样，经设计、甲方认可后方可进行种植。</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7、草坪铺设前，土壤压实平整度需经过验收，通过后方能进入下一道工序。</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8、园路、广场等硬质设施面层铺设前须先做好样板段，经设计、甲方认可后，方可进行铺设。</w:t>
      </w:r>
    </w:p>
    <w:p>
      <w:pPr>
        <w:pageBreakBefore w:val="0"/>
        <w:kinsoku/>
        <w:wordWrap/>
        <w:overflowPunct/>
        <w:topLinePunct w:val="0"/>
        <w:bidi w:val="0"/>
        <w:spacing w:line="44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、迁移苗木也应保持迁移前的造型和质量，如因施工不当引起的损伤，由施工单位负责赔偿。</w:t>
      </w:r>
    </w:p>
    <w:p>
      <w:pPr>
        <w:pageBreakBefore w:val="0"/>
        <w:kinsoku/>
        <w:wordWrap/>
        <w:overflowPunct/>
        <w:topLinePunct w:val="0"/>
        <w:bidi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、招标文件未经说明的质量和技术要求按浙江省园林绿化技术规程执行。</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5.3 隐蔽工程检查</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5.3.2承包人提前通知监理人隐蔽工程检查的期限的约定：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共同检查前48小时</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监理人不能按时进行检查时，应提前</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24</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小时提交书面延期要求。</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关于延期最长不得超过：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48</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小时。</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301" w:name="_Toc351203638"/>
      <w:r>
        <w:rPr>
          <w:rFonts w:hint="eastAsia" w:ascii="宋体" w:hAnsi="宋体" w:eastAsia="宋体" w:cs="宋体"/>
          <w:bCs/>
          <w:i w:val="0"/>
          <w:iCs w:val="0"/>
          <w:color w:val="auto"/>
          <w:kern w:val="2"/>
          <w:sz w:val="21"/>
          <w:szCs w:val="21"/>
          <w:highlight w:val="none"/>
        </w:rPr>
        <w:t>6. 安全文明施工与环境保护</w:t>
      </w:r>
      <w:bookmarkEnd w:id="301"/>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6.1安全文明施工</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6.1.1 项目安全生产的达标目标及相应事项的约定：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按有关政府管理部门要求执行，相关费用由承包人承担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6.1.4 关于治安保卫的特别约定：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由承包人负责，并承担相关费用</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关于编制施工场地治安管理计划的约定：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由承包人负责，并承担相关费用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6.1.5 文明施工</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合同当事人对文明施工的要求：</w:t>
      </w:r>
    </w:p>
    <w:p>
      <w:pPr>
        <w:pageBreakBefore w:val="0"/>
        <w:kinsoku/>
        <w:wordWrap/>
        <w:overflowPunct/>
        <w:topLinePunct w:val="0"/>
        <w:bidi w:val="0"/>
        <w:spacing w:line="440" w:lineRule="exact"/>
        <w:ind w:firstLine="422" w:firstLineChars="200"/>
        <w:jc w:val="left"/>
        <w:rPr>
          <w:rFonts w:hint="eastAsia" w:ascii="宋体" w:hAnsi="宋体" w:eastAsia="宋体" w:cs="宋体"/>
          <w:b/>
          <w:bCs/>
          <w:i w:val="0"/>
          <w:iCs w:val="0"/>
          <w:color w:val="auto"/>
          <w:sz w:val="21"/>
          <w:szCs w:val="21"/>
          <w:highlight w:val="none"/>
          <w:u w:val="single"/>
        </w:rPr>
      </w:pPr>
      <w:r>
        <w:rPr>
          <w:rFonts w:hint="eastAsia" w:ascii="宋体" w:hAnsi="宋体" w:eastAsia="宋体" w:cs="宋体"/>
          <w:b/>
          <w:bCs/>
          <w:i w:val="0"/>
          <w:iCs w:val="0"/>
          <w:color w:val="auto"/>
          <w:sz w:val="21"/>
          <w:szCs w:val="21"/>
          <w:highlight w:val="none"/>
          <w:u w:val="single"/>
        </w:rPr>
        <w:t>1、施工场地清洁卫生必须符合绍兴市安全文明施工规范要求。工程竣工验收后承包方做到工完场清，在发包方规定期限内拆除施工临时设施、施工道路和建筑垃圾清运； 2、施工期间所有的施工人员的食宿由承包人自行解决，承包人应遵守国家及当地政府发布的法令、法规及交通、绿化、噪音外来民工登记、计划生育等管理规定。教育职工和民工遵纪守法，不大声喧哗，不扰民，严禁打架斗殴、赌博、偷盗等违法行为发生，由此产生不良后果由承包人负责。</w:t>
      </w:r>
    </w:p>
    <w:p>
      <w:pPr>
        <w:pageBreakBefore w:val="0"/>
        <w:kinsoku/>
        <w:wordWrap/>
        <w:overflowPunct/>
        <w:topLinePunct w:val="0"/>
        <w:bidi w:val="0"/>
        <w:spacing w:line="440" w:lineRule="exact"/>
        <w:ind w:firstLine="422" w:firstLineChars="200"/>
        <w:jc w:val="left"/>
        <w:rPr>
          <w:rFonts w:hint="eastAsia" w:ascii="宋体" w:hAnsi="宋体" w:eastAsia="宋体" w:cs="宋体"/>
          <w:b/>
          <w:bCs/>
          <w:i w:val="0"/>
          <w:iCs w:val="0"/>
          <w:color w:val="auto"/>
          <w:sz w:val="21"/>
          <w:szCs w:val="21"/>
          <w:highlight w:val="none"/>
          <w:u w:val="single"/>
        </w:rPr>
      </w:pPr>
      <w:r>
        <w:rPr>
          <w:rFonts w:hint="eastAsia" w:ascii="宋体" w:hAnsi="宋体" w:eastAsia="宋体" w:cs="宋体"/>
          <w:b/>
          <w:bCs/>
          <w:i w:val="0"/>
          <w:iCs w:val="0"/>
          <w:color w:val="auto"/>
          <w:sz w:val="21"/>
          <w:szCs w:val="21"/>
          <w:highlight w:val="none"/>
          <w:u w:val="single"/>
        </w:rPr>
        <w:t>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w:t>
      </w:r>
      <w:r>
        <w:rPr>
          <w:rFonts w:hint="eastAsia" w:ascii="宋体" w:hAnsi="宋体" w:eastAsia="宋体" w:cs="宋体"/>
          <w:b/>
          <w:bCs/>
          <w:i w:val="0"/>
          <w:iCs w:val="0"/>
          <w:color w:val="auto"/>
          <w:sz w:val="21"/>
          <w:szCs w:val="21"/>
          <w:highlight w:val="none"/>
          <w:u w:val="single"/>
          <w:lang w:val="en-US" w:eastAsia="zh-CN"/>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sz w:val="21"/>
          <w:szCs w:val="21"/>
          <w:highlight w:val="none"/>
          <w:u w:val="single"/>
          <w:lang w:eastAsia="zh-CN"/>
        </w:rPr>
      </w:pPr>
      <w:r>
        <w:rPr>
          <w:rFonts w:hint="eastAsia" w:ascii="宋体" w:hAnsi="宋体" w:eastAsia="宋体" w:cs="宋体"/>
          <w:i w:val="0"/>
          <w:iCs w:val="0"/>
          <w:color w:val="auto"/>
          <w:kern w:val="2"/>
          <w:sz w:val="21"/>
          <w:szCs w:val="21"/>
          <w:highlight w:val="none"/>
        </w:rPr>
        <w:t>6.1.6 关于安全文明施工费支付比例和支付期限的约定：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color w:val="auto"/>
          <w:sz w:val="21"/>
          <w:szCs w:val="21"/>
          <w:highlight w:val="none"/>
          <w:u w:val="single"/>
        </w:rPr>
        <w:t xml:space="preserve"> 按付款周期约定执行</w:t>
      </w:r>
      <w:r>
        <w:rPr>
          <w:rFonts w:hint="eastAsia" w:ascii="宋体" w:hAnsi="宋体" w:eastAsia="宋体" w:cs="宋体"/>
          <w:b/>
          <w:i w:val="0"/>
          <w:iCs w:val="0"/>
          <w:color w:val="auto"/>
          <w:sz w:val="21"/>
          <w:szCs w:val="21"/>
          <w:highlight w:val="none"/>
          <w:u w:val="single"/>
          <w:lang w:eastAsia="zh-CN"/>
        </w:rPr>
        <w:t>。</w:t>
      </w:r>
    </w:p>
    <w:bookmarkEnd w:id="294"/>
    <w:bookmarkEnd w:id="295"/>
    <w:bookmarkEnd w:id="296"/>
    <w:bookmarkEnd w:id="297"/>
    <w:bookmarkEnd w:id="298"/>
    <w:bookmarkEnd w:id="299"/>
    <w:bookmarkEnd w:id="300"/>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302" w:name="_Toc351203639"/>
      <w:r>
        <w:rPr>
          <w:rFonts w:hint="eastAsia" w:ascii="宋体" w:hAnsi="宋体" w:eastAsia="宋体" w:cs="宋体"/>
          <w:bCs/>
          <w:i w:val="0"/>
          <w:iCs w:val="0"/>
          <w:color w:val="auto"/>
          <w:kern w:val="2"/>
          <w:sz w:val="21"/>
          <w:szCs w:val="21"/>
          <w:highlight w:val="none"/>
        </w:rPr>
        <w:t>7. 工期和进度</w:t>
      </w:r>
      <w:bookmarkEnd w:id="302"/>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7.1 施工组织设计</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7.1.1 合</w:t>
      </w:r>
      <w:r>
        <w:rPr>
          <w:rFonts w:hint="eastAsia" w:ascii="宋体" w:hAnsi="宋体" w:eastAsia="宋体" w:cs="宋体"/>
          <w:i w:val="0"/>
          <w:iCs w:val="0"/>
          <w:color w:val="auto"/>
          <w:sz w:val="21"/>
          <w:szCs w:val="21"/>
          <w:highlight w:val="none"/>
        </w:rPr>
        <w:t>同当事人约定的施工组织设计应包括的其他内容：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工程实施过程中，发包人可根据工程实施情况对施工方案进行合理调整，指令调整的工作计划，承包人须按发包人的计划完成所有工作，如不能完成，由发包人出具整改期限，在整改期限内仍不能按时完成的，发包人将予以违约处理直至解除合同，承包人承担由此造成的所有直接和间接损失</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 xml:space="preserve">7.1.2 </w:t>
      </w:r>
      <w:r>
        <w:rPr>
          <w:rFonts w:hint="eastAsia" w:ascii="宋体" w:hAnsi="宋体" w:eastAsia="宋体" w:cs="宋体"/>
          <w:i w:val="0"/>
          <w:iCs w:val="0"/>
          <w:color w:val="auto"/>
          <w:sz w:val="21"/>
          <w:szCs w:val="21"/>
          <w:highlight w:val="none"/>
        </w:rPr>
        <w:t>施工组织设计的提交和修改</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承包人提交详细施工组织设计的期限的约定：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承包人应在合同签订后7天内提供施工组织设计和总进度计划（以及为完成该计划而建议采用的实施性的施工安排和施工方案说明）</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发包人和监理人在收到详细的施工组织设计后确认或提出修改意见的期限：</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b/>
          <w:i w:val="0"/>
          <w:iCs w:val="0"/>
          <w:color w:val="auto"/>
          <w:sz w:val="21"/>
          <w:szCs w:val="21"/>
          <w:highlight w:val="none"/>
          <w:u w:val="single"/>
        </w:rPr>
        <w:t>收到施工组织设计后 7天内审定完毕或提出修改意见，若发包人和监理人对其施工组织设计提出质疑或要求承包人进行修正，承包人在7天内应提供修正的施工组织设计，发包人应在 7 天内对承包人修正的施工组织设计进行最后审定</w:t>
      </w:r>
      <w:r>
        <w:rPr>
          <w:rFonts w:hint="eastAsia" w:ascii="宋体" w:hAnsi="宋体" w:eastAsia="宋体" w:cs="宋体"/>
          <w:i w:val="0"/>
          <w:iCs w:val="0"/>
          <w:color w:val="auto"/>
          <w:kern w:val="2"/>
          <w:sz w:val="21"/>
          <w:szCs w:val="21"/>
          <w:highlight w:val="none"/>
          <w:u w:val="single"/>
        </w:rPr>
        <w:t>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w:t>
      </w:r>
      <w:bookmarkStart w:id="303" w:name="_Toc300934966"/>
      <w:bookmarkStart w:id="304" w:name="_Toc304295541"/>
      <w:bookmarkStart w:id="305" w:name="_Toc312678005"/>
      <w:bookmarkStart w:id="306" w:name="_Toc312677479"/>
      <w:bookmarkStart w:id="307" w:name="_Toc303539123"/>
      <w:bookmarkStart w:id="308" w:name="_Toc297123514"/>
      <w:bookmarkStart w:id="309" w:name="_Toc297216173"/>
      <w:r>
        <w:rPr>
          <w:rFonts w:hint="eastAsia" w:ascii="宋体" w:hAnsi="宋体" w:eastAsia="宋体" w:cs="宋体"/>
          <w:i w:val="0"/>
          <w:iCs w:val="0"/>
          <w:color w:val="auto"/>
          <w:kern w:val="2"/>
          <w:sz w:val="21"/>
          <w:szCs w:val="21"/>
          <w:highlight w:val="none"/>
        </w:rPr>
        <w:t>.2 施工进度计划</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7.2.2 施工进度计划的修订</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发包人和监理人在收到修订的施工进度计划后确认或提出修改意见的期限：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收到修订的施工进度计划后7天内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7.3 开工</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7.3.1 开工准备</w:t>
      </w:r>
    </w:p>
    <w:p>
      <w:pPr>
        <w:pageBreakBefore w:val="0"/>
        <w:kinsoku/>
        <w:wordWrap/>
        <w:overflowPunct/>
        <w:topLinePunct w:val="0"/>
        <w:autoSpaceDE/>
        <w:autoSpaceDN/>
        <w:bidi w:val="0"/>
        <w:adjustRightInd/>
        <w:spacing w:line="440" w:lineRule="exact"/>
        <w:ind w:firstLine="645"/>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关于承包人提交</w:t>
      </w:r>
      <w:r>
        <w:rPr>
          <w:rFonts w:hint="eastAsia" w:ascii="宋体" w:hAnsi="宋体" w:eastAsia="宋体" w:cs="宋体"/>
          <w:i w:val="0"/>
          <w:iCs w:val="0"/>
          <w:color w:val="auto"/>
          <w:sz w:val="21"/>
          <w:szCs w:val="21"/>
          <w:highlight w:val="none"/>
        </w:rPr>
        <w:t>工程开工报审表的期限：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合同签订后14天内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关于发包人应完成的其他开工准备工作及期限：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关于承包人应完成的其他开工准备工作及期限：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7.3.2开工通知</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因发包人原因造成监理人未能在计划开工日期之日起</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lang w:val="en-US" w:eastAsia="zh-CN"/>
        </w:rPr>
        <w:t>30</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天内发出开工通知的，承包人有权提出价格调整要求，或者解除合同。</w:t>
      </w:r>
    </w:p>
    <w:bookmarkEnd w:id="303"/>
    <w:bookmarkEnd w:id="304"/>
    <w:bookmarkEnd w:id="305"/>
    <w:bookmarkEnd w:id="306"/>
    <w:bookmarkEnd w:id="307"/>
    <w:bookmarkEnd w:id="308"/>
    <w:bookmarkEnd w:id="309"/>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7.4 测量放线</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7.4.1发包人通过监理人向承包人提供测量基准点、基准线和水准点及其书面资料的期限：</w:t>
      </w:r>
      <w:r>
        <w:rPr>
          <w:rFonts w:hint="eastAsia" w:ascii="宋体" w:hAnsi="宋体" w:eastAsia="宋体" w:cs="宋体"/>
          <w:b/>
          <w:i w:val="0"/>
          <w:iCs w:val="0"/>
          <w:color w:val="auto"/>
          <w:sz w:val="21"/>
          <w:szCs w:val="21"/>
          <w:highlight w:val="none"/>
          <w:u w:val="single"/>
        </w:rPr>
        <w:t>在工程开工前三方在现场交验水准点与坐标控制点，出具交底书面文件，承包人应妥善保护水准点和坐标控制点，破坏或遗失应由承包人负责无偿</w:t>
      </w:r>
      <w:r>
        <w:rPr>
          <w:rFonts w:hint="eastAsia" w:ascii="宋体" w:hAnsi="宋体" w:eastAsia="宋体" w:cs="宋体"/>
          <w:b/>
          <w:i w:val="0"/>
          <w:iCs w:val="0"/>
          <w:color w:val="auto"/>
          <w:sz w:val="21"/>
          <w:szCs w:val="21"/>
          <w:highlight w:val="none"/>
          <w:u w:val="single"/>
          <w:lang w:val="en-US" w:eastAsia="zh-CN"/>
        </w:rPr>
        <w:t>恢复</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w:t>
      </w:r>
      <w:bookmarkStart w:id="310" w:name="_Toc300934968"/>
      <w:bookmarkStart w:id="311" w:name="_Toc312677484"/>
      <w:bookmarkStart w:id="312" w:name="_Toc303539125"/>
      <w:bookmarkStart w:id="313" w:name="_Toc312678010"/>
      <w:bookmarkStart w:id="314" w:name="_Toc297123516"/>
      <w:bookmarkStart w:id="315" w:name="_Toc304295546"/>
      <w:bookmarkStart w:id="316" w:name="_Toc297216175"/>
      <w:r>
        <w:rPr>
          <w:rFonts w:hint="eastAsia" w:ascii="宋体" w:hAnsi="宋体" w:eastAsia="宋体" w:cs="宋体"/>
          <w:i w:val="0"/>
          <w:iCs w:val="0"/>
          <w:color w:val="auto"/>
          <w:kern w:val="2"/>
          <w:sz w:val="21"/>
          <w:szCs w:val="21"/>
          <w:highlight w:val="none"/>
        </w:rPr>
        <w:t>.5 工期延误</w:t>
      </w:r>
    </w:p>
    <w:bookmarkEnd w:id="310"/>
    <w:bookmarkEnd w:id="311"/>
    <w:bookmarkEnd w:id="312"/>
    <w:bookmarkEnd w:id="313"/>
    <w:bookmarkEnd w:id="314"/>
    <w:bookmarkEnd w:id="315"/>
    <w:bookmarkEnd w:id="316"/>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7.5.1 因发包人原因导致工期延误</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（7）因发包人原因导致工期延误的其他情形：</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w:t>
      </w:r>
      <w:bookmarkStart w:id="317" w:name="_Toc312677486"/>
      <w:bookmarkStart w:id="318" w:name="_Toc312678012"/>
      <w:bookmarkStart w:id="319" w:name="_Toc318581169"/>
      <w:bookmarkStart w:id="320" w:name="_Toc300934970"/>
      <w:bookmarkStart w:id="321" w:name="_Toc303539127"/>
      <w:bookmarkStart w:id="322" w:name="_Toc304295548"/>
      <w:bookmarkStart w:id="323" w:name="_Toc297123518"/>
      <w:bookmarkStart w:id="324" w:name="_Toc297216177"/>
      <w:r>
        <w:rPr>
          <w:rFonts w:hint="eastAsia" w:ascii="宋体" w:hAnsi="宋体" w:eastAsia="宋体" w:cs="宋体"/>
          <w:i w:val="0"/>
          <w:iCs w:val="0"/>
          <w:color w:val="auto"/>
          <w:kern w:val="2"/>
          <w:sz w:val="21"/>
          <w:szCs w:val="21"/>
          <w:highlight w:val="none"/>
        </w:rPr>
        <w:t>.5.2 因承包人原因导致工期延误</w:t>
      </w:r>
    </w:p>
    <w:p>
      <w:pPr>
        <w:pageBreakBefore w:val="0"/>
        <w:kinsoku/>
        <w:wordWrap/>
        <w:overflowPunct/>
        <w:topLinePunct w:val="0"/>
        <w:bidi w:val="0"/>
        <w:spacing w:line="440" w:lineRule="exact"/>
        <w:ind w:firstLine="422"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b/>
          <w:i w:val="0"/>
          <w:iCs w:val="0"/>
          <w:color w:val="auto"/>
          <w:sz w:val="21"/>
          <w:szCs w:val="21"/>
          <w:highlight w:val="none"/>
          <w:u w:val="single"/>
        </w:rPr>
        <w:t>由于承包人原因，未能按合同要求及施工进度计划完成工作，或经发包人或监理人认为承包人施工进度不能满足合同工期要求需采取的加快工程进度的措施费用，承包人应采取措施加快进度，并承担加快进度所增加的费用。</w:t>
      </w:r>
    </w:p>
    <w:bookmarkEnd w:id="317"/>
    <w:bookmarkEnd w:id="318"/>
    <w:bookmarkEnd w:id="319"/>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因</w:t>
      </w:r>
      <w:bookmarkStart w:id="325" w:name="_Toc312678013"/>
      <w:bookmarkStart w:id="326" w:name="_Toc312677487"/>
      <w:bookmarkStart w:id="327" w:name="_Toc318581170"/>
      <w:r>
        <w:rPr>
          <w:rFonts w:hint="eastAsia" w:ascii="宋体" w:hAnsi="宋体" w:eastAsia="宋体" w:cs="宋体"/>
          <w:i w:val="0"/>
          <w:iCs w:val="0"/>
          <w:color w:val="auto"/>
          <w:kern w:val="2"/>
          <w:sz w:val="21"/>
          <w:szCs w:val="21"/>
          <w:highlight w:val="none"/>
        </w:rPr>
        <w:t>承包人原因造成工期延误，逾期竣工违约金的计算方法为：</w:t>
      </w:r>
      <w:r>
        <w:rPr>
          <w:rFonts w:hint="eastAsia" w:ascii="宋体" w:hAnsi="宋体" w:eastAsia="宋体" w:cs="宋体"/>
          <w:i w:val="0"/>
          <w:iCs w:val="0"/>
          <w:color w:val="auto"/>
          <w:kern w:val="2"/>
          <w:sz w:val="21"/>
          <w:szCs w:val="21"/>
          <w:highlight w:val="none"/>
          <w:u w:val="single"/>
        </w:rPr>
        <w:t xml:space="preserve"> </w:t>
      </w:r>
      <w:bookmarkEnd w:id="320"/>
      <w:bookmarkEnd w:id="321"/>
      <w:bookmarkEnd w:id="322"/>
      <w:bookmarkEnd w:id="323"/>
      <w:bookmarkEnd w:id="324"/>
      <w:bookmarkEnd w:id="325"/>
      <w:bookmarkEnd w:id="326"/>
      <w:r>
        <w:rPr>
          <w:rFonts w:hint="eastAsia" w:ascii="宋体" w:hAnsi="宋体" w:eastAsia="宋体" w:cs="宋体"/>
          <w:b/>
          <w:i w:val="0"/>
          <w:iCs w:val="0"/>
          <w:color w:val="auto"/>
          <w:sz w:val="21"/>
          <w:szCs w:val="21"/>
          <w:highlight w:val="none"/>
          <w:u w:val="single"/>
        </w:rPr>
        <w:t>每延期一天，按合同价的万分之三每天计算</w:t>
      </w:r>
      <w:r>
        <w:rPr>
          <w:rFonts w:hint="eastAsia" w:ascii="宋体" w:hAnsi="宋体" w:eastAsia="宋体" w:cs="宋体"/>
          <w:b/>
          <w:bCs/>
          <w:i w:val="0"/>
          <w:iCs w:val="0"/>
          <w:color w:val="auto"/>
          <w:sz w:val="21"/>
          <w:szCs w:val="21"/>
          <w:highlight w:val="none"/>
          <w:u w:val="single"/>
        </w:rPr>
        <w:t>。</w:t>
      </w:r>
    </w:p>
    <w:bookmarkEnd w:id="327"/>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因承包人原因造成工期延误，逾</w:t>
      </w:r>
      <w:bookmarkStart w:id="328" w:name="_Toc312678014"/>
      <w:bookmarkStart w:id="329" w:name="_Toc318581171"/>
      <w:r>
        <w:rPr>
          <w:rFonts w:hint="eastAsia" w:ascii="宋体" w:hAnsi="宋体" w:eastAsia="宋体" w:cs="宋体"/>
          <w:i w:val="0"/>
          <w:iCs w:val="0"/>
          <w:color w:val="auto"/>
          <w:kern w:val="2"/>
          <w:sz w:val="21"/>
          <w:szCs w:val="21"/>
          <w:highlight w:val="none"/>
        </w:rPr>
        <w:t>期竣工违约金的上限：</w:t>
      </w:r>
      <w:r>
        <w:rPr>
          <w:rFonts w:hint="eastAsia" w:ascii="宋体" w:hAnsi="宋体" w:eastAsia="宋体" w:cs="宋体"/>
          <w:b/>
          <w:i w:val="0"/>
          <w:iCs w:val="0"/>
          <w:color w:val="auto"/>
          <w:sz w:val="21"/>
          <w:szCs w:val="21"/>
          <w:highlight w:val="none"/>
          <w:u w:val="single"/>
        </w:rPr>
        <w:t>合同价的3％</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328"/>
    <w:bookmarkEnd w:id="329"/>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w:t>
      </w:r>
      <w:bookmarkStart w:id="330" w:name="_Toc297123519"/>
      <w:bookmarkStart w:id="331" w:name="_Toc297216178"/>
      <w:bookmarkStart w:id="332" w:name="_Toc312678015"/>
      <w:bookmarkStart w:id="333" w:name="_Toc300934971"/>
      <w:bookmarkStart w:id="334" w:name="_Toc304295549"/>
      <w:bookmarkStart w:id="335" w:name="_Toc303539128"/>
      <w:r>
        <w:rPr>
          <w:rFonts w:hint="eastAsia" w:ascii="宋体" w:hAnsi="宋体" w:eastAsia="宋体" w:cs="宋体"/>
          <w:i w:val="0"/>
          <w:iCs w:val="0"/>
          <w:color w:val="auto"/>
          <w:kern w:val="2"/>
          <w:sz w:val="21"/>
          <w:szCs w:val="21"/>
          <w:highlight w:val="none"/>
        </w:rPr>
        <w:t>.6 不</w:t>
      </w:r>
      <w:bookmarkEnd w:id="330"/>
      <w:bookmarkEnd w:id="331"/>
      <w:bookmarkEnd w:id="332"/>
      <w:bookmarkEnd w:id="333"/>
      <w:bookmarkEnd w:id="334"/>
      <w:bookmarkEnd w:id="335"/>
      <w:r>
        <w:rPr>
          <w:rFonts w:hint="eastAsia" w:ascii="宋体" w:hAnsi="宋体" w:eastAsia="宋体" w:cs="宋体"/>
          <w:i w:val="0"/>
          <w:iCs w:val="0"/>
          <w:color w:val="auto"/>
          <w:kern w:val="2"/>
          <w:sz w:val="21"/>
          <w:szCs w:val="21"/>
          <w:highlight w:val="none"/>
        </w:rPr>
        <w:t>利物质条件</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bookmarkStart w:id="336" w:name="_Toc318581172"/>
      <w:bookmarkStart w:id="337" w:name="_Toc297123520"/>
      <w:bookmarkStart w:id="338" w:name="_Toc300934972"/>
      <w:bookmarkStart w:id="339" w:name="_Toc303539129"/>
      <w:bookmarkStart w:id="340" w:name="_Toc297216179"/>
      <w:bookmarkStart w:id="341" w:name="_Toc312678016"/>
      <w:bookmarkStart w:id="342" w:name="_Toc304295550"/>
      <w:r>
        <w:rPr>
          <w:rFonts w:hint="eastAsia" w:ascii="宋体" w:hAnsi="宋体" w:eastAsia="宋体" w:cs="宋体"/>
          <w:i w:val="0"/>
          <w:iCs w:val="0"/>
          <w:color w:val="auto"/>
          <w:kern w:val="2"/>
          <w:sz w:val="21"/>
          <w:szCs w:val="21"/>
          <w:highlight w:val="none"/>
        </w:rPr>
        <w:t>不利物质条件的其他情形和有关约定：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按《通用条款》执行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336"/>
    <w:bookmarkEnd w:id="337"/>
    <w:bookmarkEnd w:id="338"/>
    <w:bookmarkEnd w:id="339"/>
    <w:bookmarkEnd w:id="340"/>
    <w:bookmarkEnd w:id="341"/>
    <w:bookmarkEnd w:id="342"/>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w:t>
      </w:r>
      <w:bookmarkStart w:id="343" w:name="_Toc303539130"/>
      <w:bookmarkStart w:id="344" w:name="_Toc312678017"/>
      <w:bookmarkStart w:id="345" w:name="_Toc304295551"/>
      <w:bookmarkStart w:id="346" w:name="_Toc297216180"/>
      <w:bookmarkStart w:id="347" w:name="_Toc300934973"/>
      <w:bookmarkStart w:id="348" w:name="_Toc297123521"/>
      <w:r>
        <w:rPr>
          <w:rFonts w:hint="eastAsia" w:ascii="宋体" w:hAnsi="宋体" w:eastAsia="宋体" w:cs="宋体"/>
          <w:i w:val="0"/>
          <w:iCs w:val="0"/>
          <w:color w:val="auto"/>
          <w:kern w:val="2"/>
          <w:sz w:val="21"/>
          <w:szCs w:val="21"/>
          <w:highlight w:val="none"/>
        </w:rPr>
        <w:t>.7异常恶劣的气候条件</w:t>
      </w:r>
    </w:p>
    <w:bookmarkEnd w:id="343"/>
    <w:bookmarkEnd w:id="344"/>
    <w:bookmarkEnd w:id="345"/>
    <w:bookmarkEnd w:id="346"/>
    <w:bookmarkEnd w:id="347"/>
    <w:bookmarkEnd w:id="348"/>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发包人和承包人同意以下情形视为异常恶劣的气候条件：</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rPr>
        <w:t>按照政府部门的相关文件作为依据</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7.8暂停施工</w:t>
      </w:r>
    </w:p>
    <w:p>
      <w:pPr>
        <w:pageBreakBefore w:val="0"/>
        <w:kinsoku/>
        <w:wordWrap/>
        <w:overflowPunct/>
        <w:topLinePunct w:val="0"/>
        <w:bidi w:val="0"/>
        <w:spacing w:line="440" w:lineRule="exact"/>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7.8.2承包人暂停施工的责任</w:t>
      </w:r>
    </w:p>
    <w:p>
      <w:pPr>
        <w:pageBreakBefore w:val="0"/>
        <w:kinsoku/>
        <w:wordWrap/>
        <w:overflowPunct/>
        <w:topLinePunct w:val="0"/>
        <w:bidi w:val="0"/>
        <w:spacing w:line="440" w:lineRule="exact"/>
        <w:ind w:firstLine="525"/>
        <w:jc w:val="left"/>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因下列暂停施工增加的费用和（或）工期延误由承包人承担：</w:t>
      </w:r>
    </w:p>
    <w:p>
      <w:pPr>
        <w:pageBreakBefore w:val="0"/>
        <w:numPr>
          <w:ilvl w:val="0"/>
          <w:numId w:val="33"/>
        </w:numPr>
        <w:kinsoku/>
        <w:wordWrap/>
        <w:overflowPunct/>
        <w:topLinePunct w:val="0"/>
        <w:bidi w:val="0"/>
        <w:spacing w:line="440" w:lineRule="exact"/>
        <w:jc w:val="left"/>
        <w:rPr>
          <w:rFonts w:hint="eastAsia" w:ascii="宋体" w:hAnsi="宋体" w:eastAsia="宋体" w:cs="宋体"/>
          <w:b/>
          <w:bCs/>
          <w:i w:val="0"/>
          <w:iCs w:val="0"/>
          <w:color w:val="auto"/>
          <w:kern w:val="0"/>
          <w:sz w:val="21"/>
          <w:szCs w:val="21"/>
          <w:highlight w:val="none"/>
          <w:u w:val="single"/>
        </w:rPr>
      </w:pPr>
      <w:r>
        <w:rPr>
          <w:rFonts w:hint="eastAsia" w:ascii="宋体" w:hAnsi="宋体" w:eastAsia="宋体" w:cs="宋体"/>
          <w:b/>
          <w:bCs/>
          <w:i w:val="0"/>
          <w:iCs w:val="0"/>
          <w:color w:val="auto"/>
          <w:kern w:val="0"/>
          <w:sz w:val="21"/>
          <w:szCs w:val="21"/>
          <w:highlight w:val="none"/>
          <w:u w:val="single"/>
        </w:rPr>
        <w:t>承包人发生重大安全、质量事故或由其他违约引起的暂停施工；</w:t>
      </w:r>
    </w:p>
    <w:p>
      <w:pPr>
        <w:pageBreakBefore w:val="0"/>
        <w:numPr>
          <w:ilvl w:val="0"/>
          <w:numId w:val="33"/>
        </w:numPr>
        <w:kinsoku/>
        <w:wordWrap/>
        <w:overflowPunct/>
        <w:topLinePunct w:val="0"/>
        <w:bidi w:val="0"/>
        <w:spacing w:line="440" w:lineRule="exact"/>
        <w:jc w:val="left"/>
        <w:rPr>
          <w:rFonts w:hint="eastAsia" w:ascii="宋体" w:hAnsi="宋体" w:eastAsia="宋体" w:cs="宋体"/>
          <w:b/>
          <w:bCs/>
          <w:i w:val="0"/>
          <w:iCs w:val="0"/>
          <w:color w:val="auto"/>
          <w:kern w:val="0"/>
          <w:sz w:val="21"/>
          <w:szCs w:val="21"/>
          <w:highlight w:val="none"/>
          <w:u w:val="single"/>
        </w:rPr>
      </w:pPr>
      <w:r>
        <w:rPr>
          <w:rFonts w:hint="eastAsia" w:ascii="宋体" w:hAnsi="宋体" w:eastAsia="宋体" w:cs="宋体"/>
          <w:b/>
          <w:bCs/>
          <w:i w:val="0"/>
          <w:iCs w:val="0"/>
          <w:color w:val="auto"/>
          <w:kern w:val="0"/>
          <w:sz w:val="21"/>
          <w:szCs w:val="21"/>
          <w:highlight w:val="none"/>
          <w:u w:val="single"/>
        </w:rPr>
        <w:t>由于承包人原因为工程合理施工和安全保障所采取必需的暂停施工；</w:t>
      </w:r>
    </w:p>
    <w:p>
      <w:pPr>
        <w:pageBreakBefore w:val="0"/>
        <w:numPr>
          <w:ilvl w:val="0"/>
          <w:numId w:val="33"/>
        </w:numPr>
        <w:kinsoku/>
        <w:wordWrap/>
        <w:overflowPunct/>
        <w:topLinePunct w:val="0"/>
        <w:bidi w:val="0"/>
        <w:spacing w:line="440" w:lineRule="exact"/>
        <w:jc w:val="left"/>
        <w:rPr>
          <w:rFonts w:hint="eastAsia" w:ascii="宋体" w:hAnsi="宋体" w:eastAsia="宋体" w:cs="宋体"/>
          <w:b/>
          <w:bCs/>
          <w:i w:val="0"/>
          <w:iCs w:val="0"/>
          <w:color w:val="auto"/>
          <w:kern w:val="0"/>
          <w:sz w:val="21"/>
          <w:szCs w:val="21"/>
          <w:highlight w:val="none"/>
          <w:u w:val="single"/>
        </w:rPr>
      </w:pPr>
      <w:r>
        <w:rPr>
          <w:rFonts w:hint="eastAsia" w:ascii="宋体" w:hAnsi="宋体" w:eastAsia="宋体" w:cs="宋体"/>
          <w:b/>
          <w:bCs/>
          <w:i w:val="0"/>
          <w:iCs w:val="0"/>
          <w:color w:val="auto"/>
          <w:kern w:val="0"/>
          <w:sz w:val="21"/>
          <w:szCs w:val="21"/>
          <w:highlight w:val="none"/>
          <w:u w:val="single"/>
        </w:rPr>
        <w:t>承包人擅自暂停施工；</w:t>
      </w:r>
    </w:p>
    <w:p>
      <w:pPr>
        <w:pageBreakBefore w:val="0"/>
        <w:numPr>
          <w:ilvl w:val="0"/>
          <w:numId w:val="33"/>
        </w:numPr>
        <w:kinsoku/>
        <w:wordWrap/>
        <w:overflowPunct/>
        <w:topLinePunct w:val="0"/>
        <w:bidi w:val="0"/>
        <w:spacing w:line="440" w:lineRule="exact"/>
        <w:jc w:val="left"/>
        <w:rPr>
          <w:rFonts w:hint="eastAsia" w:ascii="宋体" w:hAnsi="宋体" w:eastAsia="宋体" w:cs="宋体"/>
          <w:i w:val="0"/>
          <w:iCs w:val="0"/>
          <w:color w:val="auto"/>
          <w:sz w:val="21"/>
          <w:szCs w:val="21"/>
          <w:highlight w:val="none"/>
        </w:rPr>
      </w:pPr>
      <w:r>
        <w:rPr>
          <w:rFonts w:hint="eastAsia" w:ascii="宋体" w:hAnsi="宋体" w:eastAsia="宋体" w:cs="宋体"/>
          <w:b/>
          <w:bCs/>
          <w:i w:val="0"/>
          <w:iCs w:val="0"/>
          <w:color w:val="auto"/>
          <w:kern w:val="0"/>
          <w:sz w:val="21"/>
          <w:szCs w:val="21"/>
          <w:highlight w:val="none"/>
          <w:u w:val="single"/>
        </w:rPr>
        <w:t>承包人其他原因引起的暂停施工；</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7.9 提前竣工的奖励</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7.9.2提前竣工的奖励：</w:t>
      </w:r>
      <w:r>
        <w:rPr>
          <w:rFonts w:hint="eastAsia" w:ascii="宋体" w:hAnsi="宋体" w:eastAsia="宋体" w:cs="宋体"/>
          <w:b/>
          <w:i w:val="0"/>
          <w:iCs w:val="0"/>
          <w:color w:val="auto"/>
          <w:sz w:val="21"/>
          <w:szCs w:val="21"/>
          <w:highlight w:val="none"/>
          <w:u w:val="single"/>
        </w:rPr>
        <w:t>本工程不设提前竣工奖励</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349" w:name="_Toc351203640"/>
      <w:r>
        <w:rPr>
          <w:rFonts w:hint="eastAsia" w:ascii="宋体" w:hAnsi="宋体" w:eastAsia="宋体" w:cs="宋体"/>
          <w:bCs/>
          <w:i w:val="0"/>
          <w:iCs w:val="0"/>
          <w:color w:val="auto"/>
          <w:kern w:val="2"/>
          <w:sz w:val="21"/>
          <w:szCs w:val="21"/>
          <w:highlight w:val="none"/>
        </w:rPr>
        <w:t>8. 材料与设备</w:t>
      </w:r>
      <w:bookmarkEnd w:id="349"/>
    </w:p>
    <w:bookmarkEnd w:id="284"/>
    <w:bookmarkEnd w:id="285"/>
    <w:bookmarkEnd w:id="286"/>
    <w:bookmarkEnd w:id="287"/>
    <w:bookmarkEnd w:id="288"/>
    <w:bookmarkEnd w:id="289"/>
    <w:bookmarkEnd w:id="290"/>
    <w:bookmarkEnd w:id="291"/>
    <w:bookmarkEnd w:id="292"/>
    <w:bookmarkEnd w:id="293"/>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8</w:t>
      </w:r>
      <w:bookmarkStart w:id="350" w:name="_Toc292559372"/>
      <w:bookmarkStart w:id="351" w:name="_Toc312678019"/>
      <w:bookmarkStart w:id="352" w:name="_Toc296347166"/>
      <w:bookmarkStart w:id="353" w:name="_Toc296346668"/>
      <w:bookmarkStart w:id="354" w:name="_Toc304295556"/>
      <w:bookmarkStart w:id="355" w:name="_Toc296944506"/>
      <w:bookmarkStart w:id="356" w:name="_Toc292559877"/>
      <w:bookmarkStart w:id="357" w:name="_Toc300934979"/>
      <w:bookmarkStart w:id="358" w:name="_Toc297048353"/>
      <w:bookmarkStart w:id="359" w:name="_Toc296891207"/>
      <w:bookmarkStart w:id="360" w:name="_Toc303539136"/>
      <w:bookmarkStart w:id="361" w:name="_Toc297120467"/>
      <w:bookmarkStart w:id="362" w:name="_Toc312677493"/>
      <w:bookmarkStart w:id="363" w:name="_Toc296890995"/>
      <w:bookmarkStart w:id="364" w:name="_Toc296503167"/>
      <w:bookmarkStart w:id="365" w:name="_Toc297123527"/>
      <w:bookmarkStart w:id="366" w:name="_Toc297216186"/>
      <w:bookmarkStart w:id="367" w:name="_Toc280868654"/>
      <w:bookmarkStart w:id="368" w:name="_Toc280868655"/>
      <w:bookmarkStart w:id="369" w:name="_Toc267251424"/>
      <w:bookmarkStart w:id="370" w:name="_Toc280868656"/>
      <w:r>
        <w:rPr>
          <w:rFonts w:hint="eastAsia" w:ascii="宋体" w:hAnsi="宋体" w:eastAsia="宋体" w:cs="宋体"/>
          <w:i w:val="0"/>
          <w:iCs w:val="0"/>
          <w:color w:val="auto"/>
          <w:kern w:val="2"/>
          <w:sz w:val="21"/>
          <w:szCs w:val="21"/>
          <w:highlight w:val="none"/>
        </w:rPr>
        <w:t>.4材料与工程设备的保管与使用</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8</w:t>
      </w:r>
      <w:bookmarkStart w:id="371" w:name="_Toc292559373"/>
      <w:bookmarkStart w:id="372" w:name="_Toc292559878"/>
      <w:bookmarkStart w:id="373" w:name="_Toc304295557"/>
      <w:bookmarkStart w:id="374" w:name="_Toc297048354"/>
      <w:bookmarkStart w:id="375" w:name="_Toc297120468"/>
      <w:bookmarkStart w:id="376" w:name="_Toc300934980"/>
      <w:bookmarkStart w:id="377" w:name="_Toc318581173"/>
      <w:bookmarkStart w:id="378" w:name="_Toc303539137"/>
      <w:bookmarkStart w:id="379" w:name="_Toc296346669"/>
      <w:bookmarkStart w:id="380" w:name="_Toc312678020"/>
      <w:bookmarkStart w:id="381" w:name="_Toc296503168"/>
      <w:bookmarkStart w:id="382" w:name="_Toc296944507"/>
      <w:bookmarkStart w:id="383" w:name="_Toc312677494"/>
      <w:bookmarkStart w:id="384" w:name="_Toc296347167"/>
      <w:bookmarkStart w:id="385" w:name="_Toc297123528"/>
      <w:bookmarkStart w:id="386" w:name="_Toc297216187"/>
      <w:bookmarkStart w:id="387" w:name="_Toc296891208"/>
      <w:bookmarkStart w:id="388" w:name="_Toc296890996"/>
      <w:r>
        <w:rPr>
          <w:rFonts w:hint="eastAsia" w:ascii="宋体" w:hAnsi="宋体" w:eastAsia="宋体" w:cs="宋体"/>
          <w:i w:val="0"/>
          <w:iCs w:val="0"/>
          <w:color w:val="auto"/>
          <w:kern w:val="2"/>
          <w:sz w:val="21"/>
          <w:szCs w:val="21"/>
          <w:highlight w:val="none"/>
        </w:rPr>
        <w:t>.4.1发包人供应的材料设备的保管费用的承担：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按《通用条款》执行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bookmarkEnd w:id="371"/>
      <w:bookmarkEnd w:id="372"/>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8.6 样品</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8.6.1</w:t>
      </w:r>
      <w:r>
        <w:rPr>
          <w:rFonts w:hint="eastAsia" w:ascii="宋体" w:hAnsi="宋体" w:eastAsia="宋体" w:cs="宋体"/>
          <w:i w:val="0"/>
          <w:iCs w:val="0"/>
          <w:color w:val="auto"/>
          <w:sz w:val="21"/>
          <w:szCs w:val="21"/>
          <w:highlight w:val="none"/>
        </w:rPr>
        <w:tab/>
      </w:r>
      <w:r>
        <w:rPr>
          <w:rFonts w:hint="eastAsia" w:ascii="宋体" w:hAnsi="宋体" w:eastAsia="宋体" w:cs="宋体"/>
          <w:i w:val="0"/>
          <w:iCs w:val="0"/>
          <w:color w:val="auto"/>
          <w:sz w:val="21"/>
          <w:szCs w:val="21"/>
          <w:highlight w:val="none"/>
        </w:rPr>
        <w:t>样品的报送与封存</w:t>
      </w:r>
    </w:p>
    <w:p>
      <w:pPr>
        <w:pageBreakBefore w:val="0"/>
        <w:kinsoku/>
        <w:wordWrap/>
        <w:overflowPunct/>
        <w:topLinePunct w:val="0"/>
        <w:bidi w:val="0"/>
        <w:spacing w:line="440" w:lineRule="exact"/>
        <w:ind w:firstLine="420" w:firstLineChars="200"/>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sz w:val="21"/>
          <w:szCs w:val="21"/>
          <w:highlight w:val="none"/>
        </w:rPr>
        <w:t>需要承包人报送样品的材料或工程设备，样品的种类、名称、规格、数量要求：</w:t>
      </w:r>
      <w:r>
        <w:rPr>
          <w:rFonts w:hint="eastAsia" w:ascii="宋体" w:hAnsi="宋体" w:eastAsia="宋体" w:cs="宋体"/>
          <w:i w:val="0"/>
          <w:iCs w:val="0"/>
          <w:color w:val="auto"/>
          <w:kern w:val="2"/>
          <w:sz w:val="21"/>
          <w:szCs w:val="21"/>
          <w:highlight w:val="none"/>
          <w:u w:val="single"/>
        </w:rPr>
        <w:t xml:space="preserve">                                        </w:t>
      </w:r>
    </w:p>
    <w:p>
      <w:pPr>
        <w:pageBreakBefore w:val="0"/>
        <w:kinsoku/>
        <w:wordWrap/>
        <w:overflowPunct/>
        <w:topLinePunct w:val="0"/>
        <w:bidi w:val="0"/>
        <w:spacing w:line="440" w:lineRule="exact"/>
        <w:ind w:firstLine="422" w:firstLineChars="200"/>
        <w:rPr>
          <w:rFonts w:hint="eastAsia" w:ascii="宋体" w:hAnsi="宋体" w:eastAsia="宋体" w:cs="宋体"/>
          <w:i w:val="0"/>
          <w:iCs w:val="0"/>
          <w:color w:val="auto"/>
          <w:sz w:val="21"/>
          <w:szCs w:val="21"/>
          <w:highlight w:val="none"/>
        </w:rPr>
      </w:pPr>
      <w:r>
        <w:rPr>
          <w:rFonts w:hint="eastAsia" w:ascii="宋体" w:hAnsi="宋体" w:eastAsia="宋体" w:cs="宋体"/>
          <w:b/>
          <w:i w:val="0"/>
          <w:iCs w:val="0"/>
          <w:color w:val="auto"/>
          <w:sz w:val="21"/>
          <w:szCs w:val="21"/>
          <w:highlight w:val="none"/>
          <w:u w:val="single"/>
        </w:rPr>
        <w:t>1、以符合设计和规范要求为原则。一般材料由发包人、监理看样认可后自行采购；主要材料和设备（特别是定牌材料和所有涉及观感质量的材料）应由发包人和监理共同看样确定后方可采购。2、所有材料必须有质保书和合格证，经认证许可，并符合施工图纸和规范要求，若材料质量不符合规定要求，承包人无条件退换并承担返工损失及工期、质量违约责任。</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8.8 施工设备和临时设施</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8.8.1 承包人提供的施工设备和临时设施</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关于修建临时设施费用承担的约定：</w:t>
      </w:r>
      <w:r>
        <w:rPr>
          <w:rFonts w:hint="eastAsia" w:ascii="宋体" w:hAnsi="宋体" w:eastAsia="宋体" w:cs="宋体"/>
          <w:b/>
          <w:i w:val="0"/>
          <w:iCs w:val="0"/>
          <w:color w:val="auto"/>
          <w:sz w:val="21"/>
          <w:szCs w:val="21"/>
          <w:highlight w:val="none"/>
          <w:u w:val="single"/>
        </w:rPr>
        <w:t>由承包人承担（本项目发包人已完成场地外围围挡，承包人所需承担围挡费用按各标段建筑面积占总面积的比例进行分摊，分摊基数暂按围挡工程施工中标价，最终以审计完成的围挡工程施工结算价进行调整。本标段所需承担费用暂为</w:t>
      </w:r>
      <w:r>
        <w:rPr>
          <w:rFonts w:hint="eastAsia" w:ascii="宋体" w:hAnsi="宋体" w:eastAsia="宋体" w:cs="宋体"/>
          <w:b/>
          <w:i w:val="0"/>
          <w:iCs w:val="0"/>
          <w:color w:val="auto"/>
          <w:sz w:val="21"/>
          <w:szCs w:val="21"/>
          <w:highlight w:val="none"/>
          <w:u w:val="single"/>
          <w:lang w:val="en-US" w:eastAsia="zh-CN"/>
        </w:rPr>
        <w:t>102</w:t>
      </w:r>
      <w:r>
        <w:rPr>
          <w:rFonts w:hint="eastAsia" w:ascii="宋体" w:hAnsi="宋体" w:eastAsia="宋体" w:cs="宋体"/>
          <w:b/>
          <w:i w:val="0"/>
          <w:iCs w:val="0"/>
          <w:color w:val="auto"/>
          <w:sz w:val="21"/>
          <w:szCs w:val="21"/>
          <w:highlight w:val="none"/>
          <w:u w:val="single"/>
        </w:rPr>
        <w:t>万元，此项费用在结算时扣除）</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389" w:name="_Toc351203641"/>
      <w:r>
        <w:rPr>
          <w:rFonts w:hint="eastAsia" w:ascii="宋体" w:hAnsi="宋体" w:eastAsia="宋体" w:cs="宋体"/>
          <w:bCs/>
          <w:i w:val="0"/>
          <w:iCs w:val="0"/>
          <w:color w:val="auto"/>
          <w:kern w:val="2"/>
          <w:sz w:val="21"/>
          <w:szCs w:val="21"/>
          <w:highlight w:val="none"/>
        </w:rPr>
        <w:t>9</w:t>
      </w:r>
      <w:bookmarkEnd w:id="368"/>
      <w:bookmarkEnd w:id="369"/>
      <w:bookmarkEnd w:id="370"/>
      <w:bookmarkStart w:id="390" w:name="_Toc312677495"/>
      <w:bookmarkStart w:id="391" w:name="_Toc297123533"/>
      <w:bookmarkStart w:id="392" w:name="_Toc297216192"/>
      <w:bookmarkStart w:id="393" w:name="_Toc312678021"/>
      <w:bookmarkStart w:id="394" w:name="_Toc303539139"/>
      <w:bookmarkStart w:id="395" w:name="_Toc304295559"/>
      <w:bookmarkStart w:id="396" w:name="_Toc300934982"/>
      <w:bookmarkStart w:id="397" w:name="_Toc267251427"/>
      <w:bookmarkStart w:id="398" w:name="_Toc296347172"/>
      <w:bookmarkStart w:id="399" w:name="_Toc296503173"/>
      <w:bookmarkStart w:id="400" w:name="_Toc296346674"/>
      <w:bookmarkStart w:id="401" w:name="_Toc292559378"/>
      <w:bookmarkStart w:id="402" w:name="_Toc296944512"/>
      <w:bookmarkStart w:id="403" w:name="_Toc297048359"/>
      <w:bookmarkStart w:id="404" w:name="_Toc292559883"/>
      <w:bookmarkStart w:id="405" w:name="_Toc267251428"/>
      <w:bookmarkStart w:id="406" w:name="_Toc297120473"/>
      <w:bookmarkStart w:id="407" w:name="_Toc296891213"/>
      <w:bookmarkStart w:id="408" w:name="_Toc296891001"/>
      <w:r>
        <w:rPr>
          <w:rFonts w:hint="eastAsia" w:ascii="宋体" w:hAnsi="宋体" w:eastAsia="宋体" w:cs="宋体"/>
          <w:bCs/>
          <w:i w:val="0"/>
          <w:iCs w:val="0"/>
          <w:color w:val="auto"/>
          <w:kern w:val="2"/>
          <w:sz w:val="21"/>
          <w:szCs w:val="21"/>
          <w:highlight w:val="none"/>
        </w:rPr>
        <w:t>. 试验与检验</w:t>
      </w:r>
      <w:bookmarkEnd w:id="389"/>
    </w:p>
    <w:bookmarkEnd w:id="390"/>
    <w:bookmarkEnd w:id="391"/>
    <w:bookmarkEnd w:id="392"/>
    <w:bookmarkEnd w:id="393"/>
    <w:bookmarkEnd w:id="394"/>
    <w:bookmarkEnd w:id="395"/>
    <w:bookmarkEnd w:id="396"/>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9</w:t>
      </w:r>
      <w:bookmarkStart w:id="409" w:name="_Toc312677496"/>
      <w:bookmarkStart w:id="410" w:name="_Toc312678022"/>
      <w:bookmarkStart w:id="411" w:name="_Toc300934983"/>
      <w:bookmarkStart w:id="412" w:name="_Toc303539140"/>
      <w:bookmarkStart w:id="413" w:name="_Toc297216193"/>
      <w:bookmarkStart w:id="414" w:name="_Toc304295560"/>
      <w:bookmarkStart w:id="415" w:name="_Toc297123534"/>
      <w:r>
        <w:rPr>
          <w:rFonts w:hint="eastAsia" w:ascii="宋体" w:hAnsi="宋体" w:eastAsia="宋体" w:cs="宋体"/>
          <w:i w:val="0"/>
          <w:iCs w:val="0"/>
          <w:color w:val="auto"/>
          <w:kern w:val="2"/>
          <w:sz w:val="21"/>
          <w:szCs w:val="21"/>
          <w:highlight w:val="none"/>
        </w:rPr>
        <w:t>.1试验设备与试验人员</w:t>
      </w:r>
    </w:p>
    <w:bookmarkEnd w:id="409"/>
    <w:bookmarkEnd w:id="410"/>
    <w:bookmarkEnd w:id="411"/>
    <w:bookmarkEnd w:id="412"/>
    <w:bookmarkEnd w:id="413"/>
    <w:bookmarkEnd w:id="414"/>
    <w:bookmarkEnd w:id="415"/>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9</w:t>
      </w:r>
      <w:bookmarkStart w:id="416" w:name="_Toc304295561"/>
      <w:bookmarkStart w:id="417" w:name="_Toc297123535"/>
      <w:bookmarkStart w:id="418" w:name="_Toc303539141"/>
      <w:bookmarkStart w:id="419" w:name="_Toc297216194"/>
      <w:bookmarkStart w:id="420" w:name="_Toc312678023"/>
      <w:bookmarkStart w:id="421" w:name="_Toc312677497"/>
      <w:bookmarkStart w:id="422" w:name="_Toc300934984"/>
      <w:bookmarkStart w:id="423" w:name="_Toc318581174"/>
      <w:r>
        <w:rPr>
          <w:rFonts w:hint="eastAsia" w:ascii="宋体" w:hAnsi="宋体" w:eastAsia="宋体" w:cs="宋体"/>
          <w:i w:val="0"/>
          <w:iCs w:val="0"/>
          <w:color w:val="auto"/>
          <w:kern w:val="2"/>
          <w:sz w:val="21"/>
          <w:szCs w:val="21"/>
          <w:highlight w:val="none"/>
        </w:rPr>
        <w:t>.1.2 试验设备</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施工现场需要配置的试验场所：</w:t>
      </w:r>
      <w:bookmarkEnd w:id="416"/>
      <w:bookmarkEnd w:id="417"/>
      <w:bookmarkEnd w:id="418"/>
      <w:bookmarkEnd w:id="419"/>
      <w:bookmarkEnd w:id="420"/>
      <w:bookmarkEnd w:id="421"/>
      <w:bookmarkEnd w:id="422"/>
      <w:bookmarkStart w:id="424" w:name="_Toc312678024"/>
      <w:bookmarkStart w:id="425" w:name="_Toc304295562"/>
      <w:bookmarkStart w:id="426" w:name="_Toc312677498"/>
      <w:bookmarkStart w:id="427" w:name="_Toc297123536"/>
      <w:bookmarkStart w:id="428" w:name="_Toc300934985"/>
      <w:bookmarkStart w:id="429" w:name="_Toc297216195"/>
      <w:bookmarkStart w:id="430" w:name="_Toc303539142"/>
      <w:r>
        <w:rPr>
          <w:rFonts w:hint="eastAsia" w:ascii="宋体" w:hAnsi="宋体" w:eastAsia="宋体" w:cs="宋体"/>
          <w:b/>
          <w:i w:val="0"/>
          <w:iCs w:val="0"/>
          <w:color w:val="auto"/>
          <w:sz w:val="21"/>
          <w:szCs w:val="21"/>
          <w:highlight w:val="none"/>
          <w:u w:val="single"/>
          <w:lang w:val="en-US" w:eastAsia="zh-CN"/>
        </w:rPr>
        <w:t xml:space="preserve">根据实际情况需要，相关费用由承包人承担 </w:t>
      </w:r>
      <w:r>
        <w:rPr>
          <w:rFonts w:hint="eastAsia" w:ascii="宋体" w:hAnsi="宋体" w:eastAsia="宋体" w:cs="宋体"/>
          <w:i w:val="0"/>
          <w:iCs w:val="0"/>
          <w:color w:val="auto"/>
          <w:kern w:val="2"/>
          <w:sz w:val="21"/>
          <w:szCs w:val="21"/>
          <w:highlight w:val="none"/>
        </w:rPr>
        <w:t xml:space="preserve">。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施工现场需要配备的试验设备：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施工现场需要具备的其他试验条件：</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xml:space="preserve">9.4 现场工艺试验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现场工艺试验的有关约定：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根据实际情况需要，相关费用由承包人承担</w:t>
      </w:r>
      <w:r>
        <w:rPr>
          <w:rFonts w:hint="eastAsia" w:ascii="宋体" w:hAnsi="宋体" w:eastAsia="宋体" w:cs="宋体"/>
          <w:i w:val="0"/>
          <w:iCs w:val="0"/>
          <w:color w:val="auto"/>
          <w:kern w:val="2"/>
          <w:sz w:val="21"/>
          <w:szCs w:val="21"/>
          <w:highlight w:val="none"/>
        </w:rPr>
        <w:t>。</w:t>
      </w:r>
    </w:p>
    <w:bookmarkEnd w:id="423"/>
    <w:bookmarkEnd w:id="424"/>
    <w:bookmarkEnd w:id="425"/>
    <w:bookmarkEnd w:id="426"/>
    <w:bookmarkEnd w:id="427"/>
    <w:bookmarkEnd w:id="428"/>
    <w:bookmarkEnd w:id="429"/>
    <w:bookmarkEnd w:id="430"/>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431" w:name="_Toc351203642"/>
      <w:r>
        <w:rPr>
          <w:rFonts w:hint="eastAsia" w:ascii="宋体" w:hAnsi="宋体" w:eastAsia="宋体" w:cs="宋体"/>
          <w:bCs/>
          <w:i w:val="0"/>
          <w:iCs w:val="0"/>
          <w:color w:val="auto"/>
          <w:kern w:val="2"/>
          <w:sz w:val="21"/>
          <w:szCs w:val="21"/>
          <w:highlight w:val="none"/>
        </w:rPr>
        <w:t>1</w:t>
      </w:r>
      <w:bookmarkEnd w:id="397"/>
      <w:bookmarkEnd w:id="398"/>
      <w:bookmarkEnd w:id="399"/>
      <w:bookmarkEnd w:id="400"/>
      <w:bookmarkEnd w:id="401"/>
      <w:bookmarkEnd w:id="402"/>
      <w:bookmarkEnd w:id="403"/>
      <w:bookmarkEnd w:id="404"/>
      <w:bookmarkEnd w:id="405"/>
      <w:bookmarkEnd w:id="406"/>
      <w:bookmarkEnd w:id="407"/>
      <w:bookmarkEnd w:id="408"/>
      <w:bookmarkStart w:id="432" w:name="_Toc303539146"/>
      <w:bookmarkStart w:id="433" w:name="_Toc296891021"/>
      <w:bookmarkStart w:id="434" w:name="_Toc297123540"/>
      <w:bookmarkStart w:id="435" w:name="_Toc296503193"/>
      <w:bookmarkStart w:id="436" w:name="_Toc292559398"/>
      <w:bookmarkStart w:id="437" w:name="_Toc297048379"/>
      <w:bookmarkStart w:id="438" w:name="_Toc296347192"/>
      <w:bookmarkStart w:id="439" w:name="_Toc297216199"/>
      <w:bookmarkStart w:id="440" w:name="_Toc300934989"/>
      <w:bookmarkStart w:id="441" w:name="_Toc304295566"/>
      <w:bookmarkStart w:id="442" w:name="_Toc296346694"/>
      <w:bookmarkStart w:id="443" w:name="_Toc297120493"/>
      <w:bookmarkStart w:id="444" w:name="_Toc296891233"/>
      <w:bookmarkStart w:id="445" w:name="_Toc292559903"/>
      <w:bookmarkStart w:id="446" w:name="_Toc296944532"/>
      <w:bookmarkStart w:id="447" w:name="_Toc312678025"/>
      <w:bookmarkStart w:id="448" w:name="_Toc312677499"/>
      <w:bookmarkStart w:id="449" w:name="_Toc267251439"/>
      <w:bookmarkStart w:id="450" w:name="_Toc267251433"/>
      <w:bookmarkStart w:id="451" w:name="_Toc267251441"/>
      <w:bookmarkStart w:id="452" w:name="_Toc267251440"/>
      <w:bookmarkStart w:id="453" w:name="_Toc267251435"/>
      <w:bookmarkStart w:id="454" w:name="_Toc267251437"/>
      <w:bookmarkStart w:id="455" w:name="_Toc267251442"/>
      <w:r>
        <w:rPr>
          <w:rFonts w:hint="eastAsia" w:ascii="宋体" w:hAnsi="宋体" w:eastAsia="宋体" w:cs="宋体"/>
          <w:bCs/>
          <w:i w:val="0"/>
          <w:iCs w:val="0"/>
          <w:color w:val="auto"/>
          <w:kern w:val="2"/>
          <w:sz w:val="21"/>
          <w:szCs w:val="21"/>
          <w:highlight w:val="none"/>
        </w:rPr>
        <w:t>0. 变更</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bookmarkEnd w:id="447"/>
    <w:bookmarkEnd w:id="448"/>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bookmarkStart w:id="456" w:name="_Toc297048380"/>
      <w:bookmarkStart w:id="457" w:name="_Toc292559399"/>
      <w:bookmarkStart w:id="458" w:name="_Toc296891234"/>
      <w:bookmarkStart w:id="459" w:name="_Toc296944533"/>
      <w:bookmarkStart w:id="460" w:name="_Toc312678026"/>
      <w:bookmarkStart w:id="461" w:name="_Toc296347193"/>
      <w:bookmarkStart w:id="462" w:name="_Toc312677500"/>
      <w:bookmarkStart w:id="463" w:name="_Toc303539147"/>
      <w:bookmarkStart w:id="464" w:name="_Toc296346695"/>
      <w:bookmarkStart w:id="465" w:name="_Toc297123541"/>
      <w:bookmarkStart w:id="466" w:name="_Toc297120494"/>
      <w:bookmarkStart w:id="467" w:name="_Toc292559904"/>
      <w:bookmarkStart w:id="468" w:name="_Toc300934990"/>
      <w:bookmarkStart w:id="469" w:name="_Toc296891022"/>
      <w:bookmarkStart w:id="470" w:name="_Toc296503194"/>
      <w:bookmarkStart w:id="471" w:name="_Toc297216200"/>
      <w:bookmarkStart w:id="472" w:name="_Toc304295567"/>
      <w:r>
        <w:rPr>
          <w:rFonts w:hint="eastAsia" w:ascii="宋体" w:hAnsi="宋体" w:eastAsia="宋体" w:cs="宋体"/>
          <w:i w:val="0"/>
          <w:iCs w:val="0"/>
          <w:color w:val="auto"/>
          <w:kern w:val="2"/>
          <w:sz w:val="21"/>
          <w:szCs w:val="21"/>
          <w:highlight w:val="none"/>
        </w:rPr>
        <w:t>0.1变更的范围</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关于变更的范围的约定：</w:t>
      </w:r>
      <w:r>
        <w:rPr>
          <w:rFonts w:hint="eastAsia" w:ascii="宋体" w:hAnsi="宋体" w:eastAsia="宋体" w:cs="宋体"/>
          <w:b/>
          <w:i w:val="0"/>
          <w:iCs w:val="0"/>
          <w:color w:val="auto"/>
          <w:sz w:val="21"/>
          <w:szCs w:val="21"/>
          <w:highlight w:val="none"/>
          <w:u w:val="single"/>
          <w:lang w:val="en-US" w:eastAsia="zh-CN"/>
        </w:rPr>
        <w:t>1、发包人认可的设计变更引起的工程量增加或减少、工期调整及重大技术措施调整等经发包人确认的工程变更联系单；2．不可抗力发生；3．在招标明确的范围之外，应发包方要求增减的工程量；4．图纸会审纪要明确的工程量变更；5.在招标文件和标底编制说明中允许调整的内容；6．工程量清单中的工程量错项和工程量漏项可在结算中作调整,工程费用组价等其他错项不作调整；7．国家调价政策文件</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10.4 变更估价</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10.4.1 变更估价原则</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sz w:val="21"/>
          <w:szCs w:val="21"/>
          <w:highlight w:val="none"/>
          <w:u w:val="single"/>
          <w:lang w:val="en-US" w:eastAsia="zh-CN"/>
        </w:rPr>
      </w:pPr>
      <w:r>
        <w:rPr>
          <w:rFonts w:hint="eastAsia" w:ascii="宋体" w:hAnsi="宋体" w:eastAsia="宋体" w:cs="宋体"/>
          <w:i w:val="0"/>
          <w:iCs w:val="0"/>
          <w:color w:val="auto"/>
          <w:kern w:val="2"/>
          <w:sz w:val="21"/>
          <w:szCs w:val="21"/>
          <w:highlight w:val="none"/>
        </w:rPr>
        <w:t xml:space="preserve">关于变更估价的约定: </w:t>
      </w:r>
      <w:r>
        <w:rPr>
          <w:rFonts w:hint="eastAsia" w:ascii="宋体" w:hAnsi="宋体" w:eastAsia="宋体" w:cs="宋体"/>
          <w:b/>
          <w:i w:val="0"/>
          <w:iCs w:val="0"/>
          <w:color w:val="auto"/>
          <w:sz w:val="21"/>
          <w:szCs w:val="21"/>
          <w:highlight w:val="none"/>
          <w:u w:val="single"/>
          <w:lang w:val="en-US" w:eastAsia="zh-CN"/>
        </w:rPr>
        <w:t>本工程需要变更时，应符合国家法律法规相关规定，出具工程变更联系单（包括设计联系单），在变更项目发生前提交变更申请，并按发包方及其上级部门和有关政府部门的规定程序及权限进行审批，经发包方审批同意后，方可进行变更，否则变更引起的合同工程量减少则按实计量，增加则按原合同工程量计算，合同价款也照此办理。</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b/>
          <w:i w:val="0"/>
          <w:iCs w:val="0"/>
          <w:color w:val="auto"/>
          <w:sz w:val="21"/>
          <w:szCs w:val="21"/>
          <w:highlight w:val="none"/>
          <w:u w:val="single"/>
          <w:lang w:val="en-US" w:eastAsia="zh-CN"/>
        </w:rPr>
      </w:pPr>
      <w:r>
        <w:rPr>
          <w:rFonts w:hint="eastAsia" w:ascii="宋体" w:hAnsi="宋体" w:eastAsia="宋体" w:cs="宋体"/>
          <w:b/>
          <w:i w:val="0"/>
          <w:iCs w:val="0"/>
          <w:color w:val="auto"/>
          <w:sz w:val="21"/>
          <w:szCs w:val="21"/>
          <w:highlight w:val="none"/>
          <w:u w:val="single"/>
          <w:lang w:val="en-US" w:eastAsia="zh-CN"/>
        </w:rPr>
        <w:t>1.工程量认定：工程量按施工图纸和施工现场实际发生量按实调整；变更的工程量应根据变更设计图纸、变更联系单，并按有关工程量计算规则计算确定。</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b/>
          <w:i w:val="0"/>
          <w:iCs w:val="0"/>
          <w:color w:val="auto"/>
          <w:sz w:val="21"/>
          <w:szCs w:val="21"/>
          <w:highlight w:val="none"/>
          <w:u w:val="single"/>
          <w:lang w:val="en-US" w:eastAsia="zh-CN"/>
        </w:rPr>
      </w:pPr>
      <w:r>
        <w:rPr>
          <w:rFonts w:hint="eastAsia" w:ascii="宋体" w:hAnsi="宋体" w:eastAsia="宋体" w:cs="宋体"/>
          <w:b/>
          <w:i w:val="0"/>
          <w:iCs w:val="0"/>
          <w:color w:val="auto"/>
          <w:sz w:val="21"/>
          <w:szCs w:val="21"/>
          <w:highlight w:val="none"/>
          <w:u w:val="single"/>
          <w:lang w:val="en-US" w:eastAsia="zh-CN"/>
        </w:rPr>
        <w:t>2.单价确定：工程设计变更或发包人提供的工程量清单漏项，其相应单价的确定方法为：</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b/>
          <w:i w:val="0"/>
          <w:iCs w:val="0"/>
          <w:color w:val="auto"/>
          <w:sz w:val="21"/>
          <w:szCs w:val="21"/>
          <w:highlight w:val="none"/>
          <w:u w:val="single"/>
          <w:lang w:val="en-US" w:eastAsia="zh-CN"/>
        </w:rPr>
      </w:pPr>
      <w:r>
        <w:rPr>
          <w:rFonts w:hint="eastAsia" w:ascii="宋体" w:hAnsi="宋体" w:eastAsia="宋体" w:cs="宋体"/>
          <w:b/>
          <w:i w:val="0"/>
          <w:iCs w:val="0"/>
          <w:color w:val="auto"/>
          <w:sz w:val="21"/>
          <w:szCs w:val="21"/>
          <w:highlight w:val="none"/>
          <w:u w:val="single"/>
          <w:lang w:val="en-US" w:eastAsia="zh-CN"/>
        </w:rPr>
        <w:t>①</w:t>
      </w:r>
      <w:r>
        <w:rPr>
          <w:rFonts w:hint="eastAsia" w:ascii="宋体" w:hAnsi="宋体" w:eastAsia="宋体" w:cs="宋体"/>
          <w:b/>
          <w:i w:val="0"/>
          <w:iCs w:val="0"/>
          <w:color w:val="auto"/>
          <w:sz w:val="21"/>
          <w:szCs w:val="21"/>
          <w:highlight w:val="none"/>
          <w:u w:val="single"/>
          <w:lang w:val="en-US" w:eastAsia="zh-CN"/>
        </w:rPr>
        <w:tab/>
      </w:r>
      <w:r>
        <w:rPr>
          <w:rFonts w:hint="eastAsia" w:ascii="宋体" w:hAnsi="宋体" w:eastAsia="宋体" w:cs="宋体"/>
          <w:b/>
          <w:i w:val="0"/>
          <w:iCs w:val="0"/>
          <w:color w:val="auto"/>
          <w:sz w:val="21"/>
          <w:szCs w:val="21"/>
          <w:highlight w:val="none"/>
          <w:u w:val="single"/>
          <w:lang w:val="en-US" w:eastAsia="zh-CN"/>
        </w:rPr>
        <w:t>有投标综合单价的，按投标综合单价；</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b/>
          <w:i w:val="0"/>
          <w:iCs w:val="0"/>
          <w:color w:val="auto"/>
          <w:sz w:val="21"/>
          <w:szCs w:val="21"/>
          <w:highlight w:val="none"/>
          <w:u w:val="single"/>
          <w:lang w:val="en-US" w:eastAsia="zh-CN"/>
        </w:rPr>
      </w:pPr>
      <w:r>
        <w:rPr>
          <w:rFonts w:hint="eastAsia" w:ascii="宋体" w:hAnsi="宋体" w:eastAsia="宋体" w:cs="宋体"/>
          <w:b/>
          <w:i w:val="0"/>
          <w:iCs w:val="0"/>
          <w:color w:val="auto"/>
          <w:sz w:val="21"/>
          <w:szCs w:val="21"/>
          <w:highlight w:val="none"/>
          <w:u w:val="single"/>
          <w:lang w:val="en-US" w:eastAsia="zh-CN"/>
        </w:rPr>
        <w:t>②</w:t>
      </w:r>
      <w:r>
        <w:rPr>
          <w:rFonts w:hint="eastAsia" w:ascii="宋体" w:hAnsi="宋体" w:eastAsia="宋体" w:cs="宋体"/>
          <w:b/>
          <w:i w:val="0"/>
          <w:iCs w:val="0"/>
          <w:color w:val="auto"/>
          <w:sz w:val="21"/>
          <w:szCs w:val="21"/>
          <w:highlight w:val="none"/>
          <w:u w:val="single"/>
          <w:lang w:val="en-US" w:eastAsia="zh-CN"/>
        </w:rPr>
        <w:tab/>
      </w:r>
      <w:r>
        <w:rPr>
          <w:rFonts w:hint="eastAsia" w:ascii="宋体" w:hAnsi="宋体" w:eastAsia="宋体" w:cs="宋体"/>
          <w:b/>
          <w:i w:val="0"/>
          <w:iCs w:val="0"/>
          <w:color w:val="auto"/>
          <w:sz w:val="21"/>
          <w:szCs w:val="21"/>
          <w:highlight w:val="none"/>
          <w:u w:val="single"/>
          <w:lang w:val="en-US" w:eastAsia="zh-CN"/>
        </w:rPr>
        <w:t>无投标综合单价的，但有类似工程项目单价的，在合理范围内可以参照合同中类似项目的单价计算，并经监理工程师审核，发包人或其委托的咨询单位工程师审定，并按相关程序批准后确定；</w:t>
      </w:r>
    </w:p>
    <w:p>
      <w:pPr>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eastAsia="宋体" w:cs="宋体"/>
          <w:b/>
          <w:i w:val="0"/>
          <w:iCs w:val="0"/>
          <w:color w:val="auto"/>
          <w:sz w:val="21"/>
          <w:szCs w:val="21"/>
          <w:highlight w:val="none"/>
          <w:u w:val="single"/>
          <w:lang w:val="en-US" w:eastAsia="zh-CN"/>
        </w:rPr>
      </w:pPr>
      <w:r>
        <w:rPr>
          <w:rFonts w:hint="eastAsia" w:ascii="宋体" w:hAnsi="宋体" w:eastAsia="宋体" w:cs="宋体"/>
          <w:b/>
          <w:i w:val="0"/>
          <w:iCs w:val="0"/>
          <w:color w:val="auto"/>
          <w:sz w:val="21"/>
          <w:szCs w:val="21"/>
          <w:highlight w:val="none"/>
          <w:u w:val="single"/>
          <w:lang w:val="en-US" w:eastAsia="zh-CN"/>
        </w:rPr>
        <w:t>③无投标综合单价、也无类似工程项目单价的，但可套定额的，按招标文件标底编制口径调整并按中标下浮率下浮；投标书中既无该项目综合单价、也无类似工程项目单价且无定额可套用的，按照招标人签证价结算，签证价已考虑管理费、利润、税金等全部费用（不再计取其它任何费用，也不下浮）；</w:t>
      </w:r>
    </w:p>
    <w:p>
      <w:pPr>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eastAsia="宋体" w:cs="宋体"/>
          <w:b/>
          <w:color w:val="auto"/>
          <w:sz w:val="21"/>
          <w:szCs w:val="21"/>
          <w:highlight w:val="none"/>
          <w:u w:val="single"/>
          <w:lang w:val="en-US" w:eastAsia="zh-CN"/>
        </w:rPr>
      </w:pPr>
      <w:r>
        <w:rPr>
          <w:rFonts w:hint="eastAsia" w:ascii="宋体" w:hAnsi="宋体" w:eastAsia="宋体" w:cs="宋体"/>
          <w:b/>
          <w:color w:val="auto"/>
          <w:sz w:val="21"/>
          <w:szCs w:val="21"/>
          <w:highlight w:val="none"/>
          <w:u w:val="single"/>
          <w:lang w:val="en-US" w:eastAsia="zh-CN"/>
        </w:rPr>
        <w:t>④工程变更引起施工方案改变并使措施项目发生变化时，措施项目费的调整：（1）采用综合单价计价的措施项目，按上述方法调整；（2）采用以“项”计价的技术措施项目，工程量清单项目及工程数量变化引起措施变动部分应重新组价；（3）施工组织措施项目按合同约定的费率内容调整相关措施费用。</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b/>
          <w:color w:val="auto"/>
          <w:sz w:val="21"/>
          <w:szCs w:val="21"/>
          <w:highlight w:val="none"/>
          <w:u w:val="single"/>
        </w:rPr>
        <w:t>⑤</w:t>
      </w:r>
      <w:r>
        <w:rPr>
          <w:rFonts w:hint="eastAsia" w:ascii="宋体" w:hAnsi="宋体" w:eastAsia="宋体" w:cs="宋体"/>
          <w:b/>
          <w:i w:val="0"/>
          <w:iCs w:val="0"/>
          <w:color w:val="auto"/>
          <w:sz w:val="21"/>
          <w:szCs w:val="21"/>
          <w:highlight w:val="none"/>
          <w:u w:val="single"/>
          <w:lang w:val="en-US" w:eastAsia="zh-CN"/>
        </w:rPr>
        <w:t>工程设计变更费用在工程结算审计后按工程款相关支付条款执行</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Start w:id="473" w:name="_Toc303539150"/>
      <w:bookmarkStart w:id="474" w:name="_Toc292559907"/>
      <w:bookmarkStart w:id="475" w:name="_Toc297120497"/>
      <w:bookmarkStart w:id="476" w:name="_Toc297048383"/>
      <w:bookmarkStart w:id="477" w:name="_Toc296347196"/>
      <w:bookmarkStart w:id="478" w:name="_Toc297216203"/>
      <w:bookmarkStart w:id="479" w:name="_Toc296891237"/>
      <w:bookmarkStart w:id="480" w:name="_Toc300934993"/>
      <w:bookmarkStart w:id="481" w:name="_Toc296346698"/>
      <w:bookmarkStart w:id="482" w:name="_Toc296503197"/>
      <w:bookmarkStart w:id="483" w:name="_Toc292559402"/>
      <w:bookmarkStart w:id="484" w:name="_Toc296891025"/>
      <w:bookmarkStart w:id="485" w:name="_Toc296944536"/>
      <w:bookmarkStart w:id="486" w:name="_Toc297123544"/>
      <w:bookmarkStart w:id="487" w:name="_Toc312678029"/>
      <w:bookmarkStart w:id="488" w:name="_Toc304295570"/>
      <w:bookmarkStart w:id="489" w:name="_Toc312677503"/>
      <w:r>
        <w:rPr>
          <w:rFonts w:hint="eastAsia" w:ascii="宋体" w:hAnsi="宋体" w:eastAsia="宋体" w:cs="宋体"/>
          <w:i w:val="0"/>
          <w:iCs w:val="0"/>
          <w:color w:val="auto"/>
          <w:kern w:val="2"/>
          <w:sz w:val="21"/>
          <w:szCs w:val="21"/>
          <w:highlight w:val="none"/>
        </w:rPr>
        <w:t>0.5承</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Start w:id="490" w:name="_Toc300934994"/>
      <w:bookmarkStart w:id="491" w:name="_Toc296891031"/>
      <w:bookmarkStart w:id="492" w:name="_Toc296346704"/>
      <w:bookmarkStart w:id="493" w:name="_Toc292559408"/>
      <w:bookmarkStart w:id="494" w:name="_Toc303539151"/>
      <w:bookmarkStart w:id="495" w:name="_Toc292559913"/>
      <w:bookmarkStart w:id="496" w:name="_Toc297216204"/>
      <w:bookmarkStart w:id="497" w:name="_Toc296944542"/>
      <w:bookmarkStart w:id="498" w:name="_Toc296503203"/>
      <w:bookmarkStart w:id="499" w:name="_Toc296891243"/>
      <w:bookmarkStart w:id="500" w:name="_Toc297048389"/>
      <w:bookmarkStart w:id="501" w:name="_Toc297120503"/>
      <w:bookmarkStart w:id="502" w:name="_Toc297123545"/>
      <w:bookmarkStart w:id="503" w:name="_Toc296347202"/>
      <w:r>
        <w:rPr>
          <w:rFonts w:hint="eastAsia" w:ascii="宋体" w:hAnsi="宋体" w:eastAsia="宋体" w:cs="宋体"/>
          <w:i w:val="0"/>
          <w:iCs w:val="0"/>
          <w:color w:val="auto"/>
          <w:kern w:val="2"/>
          <w:sz w:val="21"/>
          <w:szCs w:val="21"/>
          <w:highlight w:val="none"/>
        </w:rPr>
        <w:t>包人的合理化建议</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监理人审查承包人合理化建议的期限：</w:t>
      </w:r>
      <w:r>
        <w:rPr>
          <w:rFonts w:hint="eastAsia" w:ascii="宋体" w:hAnsi="宋体" w:eastAsia="宋体" w:cs="宋体"/>
          <w:b/>
          <w:i w:val="0"/>
          <w:iCs w:val="0"/>
          <w:color w:val="auto"/>
          <w:sz w:val="21"/>
          <w:szCs w:val="21"/>
          <w:highlight w:val="none"/>
          <w:u w:val="single"/>
          <w:lang w:val="en-US" w:eastAsia="zh-CN"/>
        </w:rPr>
        <w:t>收到承包人提交的合理化建议后7天内</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发包人审批承包人合理化建议的期限：</w:t>
      </w:r>
      <w:r>
        <w:rPr>
          <w:rFonts w:hint="eastAsia" w:ascii="宋体" w:hAnsi="宋体" w:eastAsia="宋体" w:cs="宋体"/>
          <w:b/>
          <w:i w:val="0"/>
          <w:iCs w:val="0"/>
          <w:color w:val="auto"/>
          <w:sz w:val="21"/>
          <w:szCs w:val="21"/>
          <w:highlight w:val="none"/>
          <w:u w:val="single"/>
          <w:lang w:val="en-US" w:eastAsia="zh-CN"/>
        </w:rPr>
        <w:t>收到承包人提交的合理化建议后7天内</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承</w:t>
      </w:r>
      <w:bookmarkStart w:id="504" w:name="_Toc296891032"/>
      <w:bookmarkStart w:id="505" w:name="_Toc303539152"/>
      <w:bookmarkStart w:id="506" w:name="_Toc304295571"/>
      <w:bookmarkStart w:id="507" w:name="_Toc300934995"/>
      <w:bookmarkStart w:id="508" w:name="_Toc312677504"/>
      <w:bookmarkStart w:id="509" w:name="_Toc312678030"/>
      <w:bookmarkStart w:id="510" w:name="_Toc292559914"/>
      <w:bookmarkStart w:id="511" w:name="_Toc292559409"/>
      <w:bookmarkStart w:id="512" w:name="_Toc297048390"/>
      <w:bookmarkStart w:id="513" w:name="_Toc297123546"/>
      <w:bookmarkStart w:id="514" w:name="_Toc296503204"/>
      <w:bookmarkStart w:id="515" w:name="_Toc296891244"/>
      <w:bookmarkStart w:id="516" w:name="_Toc296347203"/>
      <w:bookmarkStart w:id="517" w:name="_Toc318581175"/>
      <w:bookmarkStart w:id="518" w:name="_Toc297216205"/>
      <w:bookmarkStart w:id="519" w:name="_Toc296346705"/>
      <w:bookmarkStart w:id="520" w:name="_Toc297120504"/>
      <w:bookmarkStart w:id="521" w:name="_Toc296944543"/>
      <w:r>
        <w:rPr>
          <w:rFonts w:hint="eastAsia" w:ascii="宋体" w:hAnsi="宋体" w:eastAsia="宋体" w:cs="宋体"/>
          <w:i w:val="0"/>
          <w:iCs w:val="0"/>
          <w:color w:val="auto"/>
          <w:kern w:val="2"/>
          <w:sz w:val="21"/>
          <w:szCs w:val="21"/>
          <w:highlight w:val="none"/>
        </w:rPr>
        <w:t>包人提出的合理化建议降低了合同价格或者提高了工程经济效益的奖励的方法和金额为：</w:t>
      </w:r>
      <w:r>
        <w:rPr>
          <w:rFonts w:hint="eastAsia" w:ascii="宋体" w:hAnsi="宋体" w:eastAsia="宋体" w:cs="宋体"/>
          <w:b/>
          <w:i w:val="0"/>
          <w:iCs w:val="0"/>
          <w:color w:val="auto"/>
          <w:sz w:val="21"/>
          <w:szCs w:val="21"/>
          <w:highlight w:val="none"/>
          <w:u w:val="single"/>
          <w:lang w:val="en-US" w:eastAsia="zh-CN"/>
        </w:rPr>
        <w:t>在签订合同时明确</w:t>
      </w:r>
      <w:r>
        <w:rPr>
          <w:rFonts w:hint="eastAsia" w:ascii="宋体" w:hAnsi="宋体" w:eastAsia="宋体" w:cs="宋体"/>
          <w:i w:val="0"/>
          <w:iCs w:val="0"/>
          <w:color w:val="auto"/>
          <w:kern w:val="2"/>
          <w:sz w:val="21"/>
          <w:szCs w:val="21"/>
          <w:highlight w:val="none"/>
        </w:rPr>
        <w:t>。</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bookmarkStart w:id="522" w:name="_Toc296346700"/>
      <w:bookmarkStart w:id="523" w:name="_Toc292559404"/>
      <w:bookmarkStart w:id="524" w:name="_Toc292559909"/>
      <w:bookmarkStart w:id="525" w:name="_Toc296891239"/>
      <w:bookmarkStart w:id="526" w:name="_Toc304295574"/>
      <w:bookmarkStart w:id="527" w:name="_Toc303539154"/>
      <w:bookmarkStart w:id="528" w:name="_Toc296503199"/>
      <w:bookmarkStart w:id="529" w:name="_Toc300934997"/>
      <w:bookmarkStart w:id="530" w:name="_Toc312677507"/>
      <w:bookmarkStart w:id="531" w:name="_Toc312678033"/>
      <w:bookmarkStart w:id="532" w:name="_Toc296944538"/>
      <w:bookmarkStart w:id="533" w:name="_Toc297216207"/>
      <w:bookmarkStart w:id="534" w:name="_Toc297123548"/>
      <w:bookmarkStart w:id="535" w:name="_Toc296347198"/>
      <w:bookmarkStart w:id="536" w:name="_Toc296891027"/>
      <w:bookmarkStart w:id="537" w:name="_Toc297048385"/>
      <w:bookmarkStart w:id="538" w:name="_Toc297120499"/>
      <w:r>
        <w:rPr>
          <w:rFonts w:hint="eastAsia" w:ascii="宋体" w:hAnsi="宋体" w:eastAsia="宋体" w:cs="宋体"/>
          <w:i w:val="0"/>
          <w:iCs w:val="0"/>
          <w:color w:val="auto"/>
          <w:kern w:val="2"/>
          <w:sz w:val="21"/>
          <w:szCs w:val="21"/>
          <w:highlight w:val="none"/>
        </w:rPr>
        <w:t>0.7 暂估价</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暂</w:t>
      </w:r>
      <w:bookmarkStart w:id="539" w:name="_Toc318581176"/>
      <w:bookmarkStart w:id="540" w:name="_Toc312678034"/>
      <w:bookmarkStart w:id="541" w:name="_Toc312677508"/>
      <w:r>
        <w:rPr>
          <w:rFonts w:hint="eastAsia" w:ascii="宋体" w:hAnsi="宋体" w:eastAsia="宋体" w:cs="宋体"/>
          <w:i w:val="0"/>
          <w:iCs w:val="0"/>
          <w:color w:val="auto"/>
          <w:sz w:val="21"/>
          <w:szCs w:val="21"/>
          <w:highlight w:val="none"/>
        </w:rPr>
        <w:t>估价材料和工程设备的明细详见附件11：《</w:t>
      </w:r>
      <w:r>
        <w:rPr>
          <w:rFonts w:hint="eastAsia" w:ascii="宋体" w:hAnsi="宋体" w:eastAsia="宋体" w:cs="宋体"/>
          <w:i w:val="0"/>
          <w:iCs w:val="0"/>
          <w:color w:val="auto"/>
          <w:kern w:val="2"/>
          <w:sz w:val="21"/>
          <w:szCs w:val="21"/>
          <w:highlight w:val="none"/>
        </w:rPr>
        <w:t>暂估价一览表》</w:t>
      </w:r>
      <w:r>
        <w:rPr>
          <w:rFonts w:hint="eastAsia" w:ascii="宋体" w:hAnsi="宋体" w:eastAsia="宋体" w:cs="宋体"/>
          <w:i w:val="0"/>
          <w:iCs w:val="0"/>
          <w:color w:val="auto"/>
          <w:sz w:val="21"/>
          <w:szCs w:val="21"/>
          <w:highlight w:val="none"/>
        </w:rPr>
        <w:t>。</w:t>
      </w:r>
    </w:p>
    <w:bookmarkEnd w:id="539"/>
    <w:bookmarkEnd w:id="540"/>
    <w:bookmarkEnd w:id="541"/>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bookmarkStart w:id="542" w:name="_Toc312678035"/>
      <w:bookmarkStart w:id="543" w:name="_Toc318581177"/>
      <w:bookmarkStart w:id="544" w:name="_Toc312677509"/>
      <w:r>
        <w:rPr>
          <w:rFonts w:hint="eastAsia" w:ascii="宋体" w:hAnsi="宋体" w:eastAsia="宋体" w:cs="宋体"/>
          <w:i w:val="0"/>
          <w:iCs w:val="0"/>
          <w:color w:val="auto"/>
          <w:kern w:val="2"/>
          <w:sz w:val="21"/>
          <w:szCs w:val="21"/>
          <w:highlight w:val="none"/>
        </w:rPr>
        <w:t>0.7.1 依法必须招标的暂估价项目</w:t>
      </w:r>
    </w:p>
    <w:bookmarkEnd w:id="542"/>
    <w:bookmarkEnd w:id="543"/>
    <w:bookmarkEnd w:id="544"/>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对于依法必须招标的暂估价项目的确认和批准采取第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种方式确定。</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第1种方式：对于依法必须招标的暂估价项目，由承包人招标，对该暂估价项目的确认和批准按照以下约定执行：</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lang w:val="en-US" w:eastAsia="zh-CN"/>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10.7.2 不属于依法必须招标的暂估价项目</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对于不属于依法必须招标的暂估价项目的确认和批准采取第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rPr>
        <w:t xml:space="preserve"> 种方式确定。</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第1种方式：对于不属于依法必须招标的暂估价项目，按本项约定确认和批准：</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（2）发包人认为承包人确定的供应商、分包人无法满足工程质量或合同要求的，发包人可以要求承包人重新确定暂估价项目的供应商、分包人;</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（3）承包人应当在签订暂估价合同后7天内，将暂估价合同副本报送发包人留存。</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lang w:val="en-US"/>
        </w:rPr>
      </w:pPr>
      <w:r>
        <w:rPr>
          <w:rFonts w:hint="eastAsia" w:ascii="宋体" w:hAnsi="宋体" w:eastAsia="宋体" w:cs="宋体"/>
          <w:i w:val="0"/>
          <w:iCs w:val="0"/>
          <w:color w:val="auto"/>
          <w:kern w:val="2"/>
          <w:sz w:val="21"/>
          <w:szCs w:val="21"/>
          <w:highlight w:val="none"/>
          <w:lang w:val="en-US" w:eastAsia="zh-CN"/>
        </w:rPr>
        <w:t>第2种方式：承包人按照第10.7.1项〔依法必须招标的暂估价项目〕约定的第1种方式确定暂估价项目。</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lang w:val="en-US" w:eastAsia="zh-CN"/>
        </w:rPr>
        <w:t>第3种方式：承包人直接实施的暂估价项目</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承包人直接实施的暂估价项目的约定：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10.8 暂列金额</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合同当事人关于暂列金额使用的约定：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545" w:name="_Toc351203643"/>
      <w:r>
        <w:rPr>
          <w:rFonts w:hint="eastAsia" w:ascii="宋体" w:hAnsi="宋体" w:eastAsia="宋体" w:cs="宋体"/>
          <w:bCs/>
          <w:i w:val="0"/>
          <w:iCs w:val="0"/>
          <w:color w:val="auto"/>
          <w:kern w:val="2"/>
          <w:sz w:val="21"/>
          <w:szCs w:val="21"/>
          <w:highlight w:val="none"/>
        </w:rPr>
        <w:t>11. 价格调整</w:t>
      </w:r>
      <w:bookmarkEnd w:id="545"/>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bookmarkStart w:id="546" w:name="_Toc297216209"/>
      <w:bookmarkStart w:id="547" w:name="_Toc292559406"/>
      <w:bookmarkStart w:id="548" w:name="_Toc297120501"/>
      <w:bookmarkStart w:id="549" w:name="_Toc297123550"/>
      <w:bookmarkStart w:id="550" w:name="_Toc303539157"/>
      <w:bookmarkStart w:id="551" w:name="_Toc296891029"/>
      <w:bookmarkStart w:id="552" w:name="_Toc296944540"/>
      <w:bookmarkStart w:id="553" w:name="_Toc304295577"/>
      <w:bookmarkStart w:id="554" w:name="_Toc296891241"/>
      <w:bookmarkStart w:id="555" w:name="_Toc296346702"/>
      <w:bookmarkStart w:id="556" w:name="_Toc296503201"/>
      <w:bookmarkStart w:id="557" w:name="_Toc312678039"/>
      <w:bookmarkStart w:id="558" w:name="_Toc292559911"/>
      <w:bookmarkStart w:id="559" w:name="_Toc296347200"/>
      <w:bookmarkStart w:id="560" w:name="_Toc300935000"/>
      <w:bookmarkStart w:id="561" w:name="_Toc297048387"/>
      <w:r>
        <w:rPr>
          <w:rFonts w:hint="eastAsia" w:ascii="宋体" w:hAnsi="宋体" w:eastAsia="宋体" w:cs="宋体"/>
          <w:i w:val="0"/>
          <w:iCs w:val="0"/>
          <w:color w:val="auto"/>
          <w:kern w:val="2"/>
          <w:sz w:val="21"/>
          <w:szCs w:val="21"/>
          <w:highlight w:val="none"/>
        </w:rPr>
        <w:t>11.1 市场价格波动引起的调整</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市场价格波动是否调整合同价格的约定：</w:t>
      </w:r>
      <w:r>
        <w:rPr>
          <w:rFonts w:hint="eastAsia" w:ascii="宋体" w:hAnsi="宋体" w:eastAsia="宋体" w:cs="宋体"/>
          <w:b/>
          <w:i w:val="0"/>
          <w:iCs w:val="0"/>
          <w:color w:val="auto"/>
          <w:sz w:val="21"/>
          <w:szCs w:val="21"/>
          <w:highlight w:val="none"/>
          <w:u w:val="single"/>
          <w:lang w:val="en-US" w:eastAsia="zh-CN"/>
        </w:rPr>
        <w:t>是，具体按第3种方式调整</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因市场价格波动调整合同价格，采用以下第</w:t>
      </w:r>
      <w:r>
        <w:rPr>
          <w:rFonts w:hint="eastAsia" w:ascii="宋体" w:hAnsi="宋体" w:eastAsia="宋体" w:cs="宋体"/>
          <w:i w:val="0"/>
          <w:iCs w:val="0"/>
          <w:color w:val="auto"/>
          <w:kern w:val="2"/>
          <w:sz w:val="21"/>
          <w:szCs w:val="21"/>
          <w:highlight w:val="none"/>
          <w:u w:val="single"/>
        </w:rPr>
        <w:t xml:space="preserve">  3  </w:t>
      </w:r>
      <w:r>
        <w:rPr>
          <w:rFonts w:hint="eastAsia" w:ascii="宋体" w:hAnsi="宋体" w:eastAsia="宋体" w:cs="宋体"/>
          <w:i w:val="0"/>
          <w:iCs w:val="0"/>
          <w:color w:val="auto"/>
          <w:kern w:val="2"/>
          <w:sz w:val="21"/>
          <w:szCs w:val="21"/>
          <w:highlight w:val="none"/>
        </w:rPr>
        <w:t>种方式对合同价格进行调整：</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第1种方式：采用价格指数进行价格调整。</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关于各可调因子、定值和变值权重，以及基本价格指数及其来源的约定：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 xml:space="preserve">；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第2种方式：采用造价信息进行价格调整。</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（2）关于基准价格的约定：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%时，或材料单价跌幅以已标价工程量清单或预算书中载明材料单价为基础超过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%时，其超过部分据实调整。</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②承包人在已标价工程量清单或预算书中载明的材料单价高于基准价格的：专用合同条款合同履行期间材料单价跌幅以基准价格为基础超过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%时，材料单价涨幅以已标价工程量清单或预算书中载明材料单价为基础超过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%时，其超过部分据实调整。</w:t>
      </w:r>
    </w:p>
    <w:p>
      <w:pPr>
        <w:pageBreakBefore w:val="0"/>
        <w:kinsoku/>
        <w:wordWrap/>
        <w:overflowPunct/>
        <w:topLinePunct w:val="0"/>
        <w:autoSpaceDE/>
        <w:autoSpaceDN/>
        <w:bidi w:val="0"/>
        <w:adjustRightInd/>
        <w:spacing w:line="440" w:lineRule="exact"/>
        <w:ind w:firstLine="645"/>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%时，其超过部分据实调整。</w:t>
      </w:r>
    </w:p>
    <w:p>
      <w:pPr>
        <w:pageBreakBefore w:val="0"/>
        <w:shd w:val="clear"/>
        <w:kinsoku/>
        <w:wordWrap/>
        <w:overflowPunct/>
        <w:topLinePunct w:val="0"/>
        <w:bidi w:val="0"/>
        <w:spacing w:line="440" w:lineRule="exact"/>
        <w:ind w:firstLine="420"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i w:val="0"/>
          <w:iCs w:val="0"/>
          <w:color w:val="auto"/>
          <w:sz w:val="21"/>
          <w:szCs w:val="21"/>
          <w:highlight w:val="none"/>
        </w:rPr>
        <w:t>第3种方式：其他价格调整方式：</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color w:val="auto"/>
          <w:sz w:val="21"/>
          <w:szCs w:val="21"/>
          <w:highlight w:val="none"/>
          <w:u w:val="single"/>
        </w:rPr>
        <w:t>人工（不含场外及场外安装工程）、水泥、钢材（指钢筋、型钢、镀锌钢管）、</w:t>
      </w:r>
      <w:r>
        <w:rPr>
          <w:rFonts w:hint="eastAsia" w:ascii="宋体" w:hAnsi="宋体" w:eastAsia="宋体" w:cs="宋体"/>
          <w:b/>
          <w:color w:val="auto"/>
          <w:sz w:val="21"/>
          <w:szCs w:val="21"/>
          <w:highlight w:val="none"/>
          <w:u w:val="single"/>
          <w:lang w:val="en-US" w:eastAsia="zh-CN"/>
        </w:rPr>
        <w:t>成品钢构件、</w:t>
      </w:r>
      <w:r>
        <w:rPr>
          <w:rFonts w:hint="eastAsia" w:ascii="宋体" w:hAnsi="宋体" w:eastAsia="宋体" w:cs="宋体"/>
          <w:b/>
          <w:color w:val="auto"/>
          <w:sz w:val="21"/>
          <w:szCs w:val="21"/>
          <w:highlight w:val="none"/>
          <w:u w:val="single"/>
        </w:rPr>
        <w:t>黄砂、碎石、商品砼、预制钢筋砼叠合楼板</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rPr>
        <w:t>预制楼梯</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lang w:val="en-US" w:eastAsia="zh-CN"/>
        </w:rPr>
        <w:t>普通</w:t>
      </w:r>
      <w:r>
        <w:rPr>
          <w:rFonts w:hint="eastAsia" w:ascii="宋体" w:hAnsi="宋体" w:eastAsia="宋体" w:cs="宋体"/>
          <w:b/>
          <w:color w:val="auto"/>
          <w:sz w:val="21"/>
          <w:szCs w:val="21"/>
          <w:highlight w:val="none"/>
          <w:u w:val="single"/>
        </w:rPr>
        <w:t>沥青砼、预拌砂浆、砌体材料、电线、电缆不包括在固定单价范围内，结算时按以下规定进行调整：</w:t>
      </w:r>
    </w:p>
    <w:p>
      <w:pPr>
        <w:pageBreakBefore w:val="0"/>
        <w:shd w:val="clear"/>
        <w:kinsoku/>
        <w:wordWrap/>
        <w:overflowPunct/>
        <w:topLinePunct w:val="0"/>
        <w:bidi w:val="0"/>
        <w:spacing w:line="440" w:lineRule="exact"/>
        <w:ind w:firstLine="422"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b/>
          <w:color w:val="auto"/>
          <w:sz w:val="21"/>
          <w:szCs w:val="21"/>
          <w:highlight w:val="none"/>
          <w:u w:val="single"/>
          <w:lang w:val="en-US" w:eastAsia="zh-CN"/>
        </w:rPr>
        <w:t>②水泥、钢材（指钢筋、型钢、镀锌钢管）、成品钢构件、黄砂、碎石、商品砼、预制钢筋砼叠合楼板、预制楼梯、预拌砌筑砂浆、砌体材料当期价格按工程开工至主体结构验收合格期间的除税信息价的平均价确定；</w:t>
      </w:r>
    </w:p>
    <w:p>
      <w:pPr>
        <w:pageBreakBefore w:val="0"/>
        <w:shd w:val="clear"/>
        <w:kinsoku/>
        <w:wordWrap/>
        <w:overflowPunct/>
        <w:topLinePunct w:val="0"/>
        <w:bidi w:val="0"/>
        <w:spacing w:line="440" w:lineRule="exact"/>
        <w:ind w:firstLine="422"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b/>
          <w:color w:val="auto"/>
          <w:sz w:val="21"/>
          <w:szCs w:val="21"/>
          <w:highlight w:val="none"/>
          <w:u w:val="single"/>
          <w:lang w:val="en-US" w:eastAsia="zh-CN"/>
        </w:rPr>
        <w:t>③预拌抹灰砂浆（含地面砂浆）、电线、电缆当期价格按从主体结构验收合格至分部单项工程验收合格期间的除税信息价的平均价确定；</w:t>
      </w:r>
    </w:p>
    <w:p>
      <w:pPr>
        <w:pageBreakBefore w:val="0"/>
        <w:shd w:val="clear"/>
        <w:kinsoku/>
        <w:wordWrap/>
        <w:overflowPunct/>
        <w:topLinePunct w:val="0"/>
        <w:bidi w:val="0"/>
        <w:spacing w:line="440" w:lineRule="exact"/>
        <w:ind w:firstLine="422"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b/>
          <w:color w:val="auto"/>
          <w:sz w:val="21"/>
          <w:szCs w:val="21"/>
          <w:highlight w:val="none"/>
          <w:u w:val="single"/>
          <w:lang w:val="en-US" w:eastAsia="zh-CN"/>
        </w:rPr>
        <w:t>④</w:t>
      </w:r>
      <w:r>
        <w:rPr>
          <w:rFonts w:hint="eastAsia" w:ascii="宋体" w:hAnsi="宋体" w:eastAsia="宋体" w:cs="宋体"/>
          <w:b/>
          <w:color w:val="auto"/>
          <w:sz w:val="21"/>
          <w:szCs w:val="21"/>
          <w:highlight w:val="none"/>
          <w:u w:val="single"/>
        </w:rPr>
        <w:t>场外工程中的水泥、钢材（指钢筋、型钢、镀锌钢管）、黄砂、碎石、商品砼、砌体材料、</w:t>
      </w:r>
      <w:r>
        <w:rPr>
          <w:rFonts w:hint="eastAsia" w:ascii="宋体" w:hAnsi="宋体" w:eastAsia="宋体" w:cs="宋体"/>
          <w:b/>
          <w:color w:val="auto"/>
          <w:sz w:val="21"/>
          <w:szCs w:val="21"/>
          <w:highlight w:val="none"/>
          <w:u w:val="single"/>
          <w:lang w:val="en-US" w:eastAsia="zh-CN"/>
        </w:rPr>
        <w:t>普通</w:t>
      </w:r>
      <w:r>
        <w:rPr>
          <w:rFonts w:hint="eastAsia" w:ascii="宋体" w:hAnsi="宋体" w:eastAsia="宋体" w:cs="宋体"/>
          <w:b/>
          <w:color w:val="auto"/>
          <w:sz w:val="21"/>
          <w:szCs w:val="21"/>
          <w:highlight w:val="none"/>
          <w:u w:val="single"/>
        </w:rPr>
        <w:t>沥青砼</w:t>
      </w:r>
      <w:r>
        <w:rPr>
          <w:rFonts w:hint="eastAsia" w:ascii="宋体" w:hAnsi="宋体" w:eastAsia="宋体" w:cs="宋体"/>
          <w:b/>
          <w:color w:val="auto"/>
          <w:sz w:val="21"/>
          <w:szCs w:val="21"/>
          <w:highlight w:val="none"/>
          <w:u w:val="single"/>
          <w:lang w:val="en-US" w:eastAsia="zh-CN"/>
        </w:rPr>
        <w:t>当期价格</w:t>
      </w:r>
      <w:r>
        <w:rPr>
          <w:rFonts w:hint="eastAsia" w:ascii="宋体" w:hAnsi="宋体" w:eastAsia="宋体" w:cs="宋体"/>
          <w:b/>
          <w:color w:val="auto"/>
          <w:sz w:val="21"/>
          <w:szCs w:val="21"/>
          <w:highlight w:val="none"/>
          <w:u w:val="single"/>
        </w:rPr>
        <w:t>按</w:t>
      </w:r>
      <w:r>
        <w:rPr>
          <w:rFonts w:hint="eastAsia" w:ascii="宋体" w:hAnsi="宋体" w:eastAsia="宋体" w:cs="宋体"/>
          <w:b/>
          <w:color w:val="auto"/>
          <w:sz w:val="21"/>
          <w:szCs w:val="21"/>
          <w:highlight w:val="none"/>
          <w:u w:val="single"/>
          <w:lang w:val="en-US" w:eastAsia="zh-CN"/>
        </w:rPr>
        <w:t>最迟楼栋</w:t>
      </w:r>
      <w:r>
        <w:rPr>
          <w:rFonts w:hint="eastAsia" w:ascii="宋体" w:hAnsi="宋体" w:eastAsia="宋体" w:cs="宋体"/>
          <w:b/>
          <w:color w:val="auto"/>
          <w:sz w:val="21"/>
          <w:szCs w:val="21"/>
          <w:highlight w:val="none"/>
          <w:u w:val="single"/>
        </w:rPr>
        <w:t>主体结构验收合格至工程通过竣工验收期间前80%月份的除税信息价的平均值</w:t>
      </w:r>
      <w:r>
        <w:rPr>
          <w:rFonts w:hint="eastAsia" w:ascii="宋体" w:hAnsi="宋体" w:eastAsia="宋体" w:cs="宋体"/>
          <w:b/>
          <w:color w:val="auto"/>
          <w:sz w:val="21"/>
          <w:szCs w:val="21"/>
          <w:highlight w:val="none"/>
          <w:u w:val="single"/>
          <w:lang w:val="en-US" w:eastAsia="zh-CN"/>
        </w:rPr>
        <w:t>确定</w:t>
      </w:r>
      <w:r>
        <w:rPr>
          <w:rFonts w:hint="eastAsia" w:ascii="宋体" w:hAnsi="宋体" w:eastAsia="宋体" w:cs="宋体"/>
          <w:b/>
          <w:color w:val="auto"/>
          <w:kern w:val="0"/>
          <w:sz w:val="21"/>
          <w:szCs w:val="21"/>
          <w:highlight w:val="none"/>
          <w:u w:val="single"/>
          <w:lang w:eastAsia="zh-CN"/>
        </w:rPr>
        <w:t>；</w:t>
      </w:r>
    </w:p>
    <w:p>
      <w:pPr>
        <w:pageBreakBefore w:val="0"/>
        <w:shd w:val="clear"/>
        <w:kinsoku/>
        <w:wordWrap/>
        <w:overflowPunct/>
        <w:topLinePunct w:val="0"/>
        <w:bidi w:val="0"/>
        <w:spacing w:line="440" w:lineRule="exact"/>
        <w:ind w:firstLine="422"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b/>
          <w:color w:val="auto"/>
          <w:sz w:val="21"/>
          <w:szCs w:val="21"/>
          <w:highlight w:val="none"/>
          <w:u w:val="single"/>
          <w:lang w:val="en-US" w:eastAsia="zh-CN"/>
        </w:rPr>
        <w:t>⑤</w:t>
      </w:r>
      <w:r>
        <w:rPr>
          <w:rFonts w:hint="eastAsia" w:ascii="宋体" w:hAnsi="宋体" w:eastAsia="宋体" w:cs="宋体"/>
          <w:b/>
          <w:color w:val="auto"/>
          <w:sz w:val="21"/>
          <w:szCs w:val="21"/>
          <w:highlight w:val="none"/>
          <w:u w:val="single"/>
        </w:rPr>
        <w:t>人工（不含场外及场外安装工程）</w:t>
      </w:r>
      <w:r>
        <w:rPr>
          <w:rFonts w:hint="eastAsia" w:ascii="宋体" w:hAnsi="宋体" w:eastAsia="宋体" w:cs="宋体"/>
          <w:b/>
          <w:color w:val="auto"/>
          <w:sz w:val="21"/>
          <w:szCs w:val="21"/>
          <w:highlight w:val="none"/>
          <w:u w:val="single"/>
          <w:lang w:val="en-US" w:eastAsia="zh-CN"/>
        </w:rPr>
        <w:t>当期价格</w:t>
      </w:r>
      <w:r>
        <w:rPr>
          <w:rFonts w:hint="eastAsia" w:ascii="宋体" w:hAnsi="宋体" w:eastAsia="宋体" w:cs="宋体"/>
          <w:b/>
          <w:color w:val="auto"/>
          <w:sz w:val="21"/>
          <w:szCs w:val="21"/>
          <w:highlight w:val="none"/>
          <w:u w:val="single"/>
        </w:rPr>
        <w:t>按工程开工至工程通过竣工验收期间前80%月份的《绍兴市建设工程造价管理信息》除税信息价的平均</w:t>
      </w:r>
      <w:r>
        <w:rPr>
          <w:rFonts w:hint="eastAsia" w:ascii="宋体" w:hAnsi="宋体" w:eastAsia="宋体" w:cs="宋体"/>
          <w:b/>
          <w:color w:val="auto"/>
          <w:sz w:val="21"/>
          <w:szCs w:val="21"/>
          <w:highlight w:val="none"/>
          <w:u w:val="single"/>
          <w:lang w:val="en-US" w:eastAsia="zh-CN"/>
        </w:rPr>
        <w:t>价确定；</w:t>
      </w:r>
    </w:p>
    <w:p>
      <w:pPr>
        <w:pageBreakBefore w:val="0"/>
        <w:shd w:val="clear"/>
        <w:kinsoku/>
        <w:wordWrap/>
        <w:overflowPunct/>
        <w:topLinePunct w:val="0"/>
        <w:bidi w:val="0"/>
        <w:spacing w:line="440" w:lineRule="exact"/>
        <w:ind w:firstLine="422" w:firstLineChars="200"/>
        <w:rPr>
          <w:rFonts w:hint="eastAsia" w:ascii="宋体" w:hAnsi="宋体" w:eastAsia="宋体" w:cs="宋体"/>
          <w:b/>
          <w:color w:val="auto"/>
          <w:sz w:val="21"/>
          <w:szCs w:val="21"/>
          <w:highlight w:val="none"/>
          <w:u w:val="single"/>
          <w:lang w:val="en-US" w:eastAsia="zh-CN"/>
        </w:rPr>
      </w:pPr>
      <w:r>
        <w:rPr>
          <w:rFonts w:hint="eastAsia" w:ascii="宋体" w:hAnsi="宋体" w:eastAsia="宋体" w:cs="宋体"/>
          <w:b/>
          <w:color w:val="auto"/>
          <w:sz w:val="21"/>
          <w:szCs w:val="21"/>
          <w:highlight w:val="none"/>
          <w:u w:val="single"/>
          <w:lang w:val="en-US" w:eastAsia="zh-CN"/>
        </w:rPr>
        <w:t>⑥基期价格按招标控制价</w:t>
      </w:r>
      <w:r>
        <w:rPr>
          <w:rFonts w:hint="eastAsia" w:ascii="宋体" w:hAnsi="宋体" w:eastAsia="宋体" w:cs="宋体"/>
          <w:b/>
          <w:color w:val="auto"/>
          <w:sz w:val="21"/>
          <w:szCs w:val="21"/>
          <w:highlight w:val="none"/>
          <w:u w:val="single"/>
        </w:rPr>
        <w:t>约定的除税信息价</w:t>
      </w:r>
      <w:r>
        <w:rPr>
          <w:rFonts w:hint="eastAsia" w:ascii="宋体" w:hAnsi="宋体" w:eastAsia="宋体" w:cs="宋体"/>
          <w:b/>
          <w:color w:val="auto"/>
          <w:sz w:val="21"/>
          <w:szCs w:val="21"/>
          <w:highlight w:val="none"/>
          <w:u w:val="single"/>
          <w:lang w:val="en-US" w:eastAsia="zh-CN"/>
        </w:rPr>
        <w:t>确定，</w:t>
      </w:r>
      <w:r>
        <w:rPr>
          <w:rFonts w:hint="eastAsia" w:ascii="宋体" w:hAnsi="宋体" w:eastAsia="宋体" w:cs="宋体"/>
          <w:b/>
          <w:color w:val="auto"/>
          <w:kern w:val="0"/>
          <w:sz w:val="21"/>
          <w:szCs w:val="21"/>
          <w:highlight w:val="none"/>
          <w:u w:val="single"/>
        </w:rPr>
        <w:t>当期价格涨跌超过基期价格的5%</w:t>
      </w:r>
      <w:r>
        <w:rPr>
          <w:rFonts w:hint="eastAsia" w:ascii="宋体" w:hAnsi="宋体" w:eastAsia="宋体" w:cs="宋体"/>
          <w:b/>
          <w:color w:val="auto"/>
          <w:kern w:val="0"/>
          <w:sz w:val="21"/>
          <w:szCs w:val="21"/>
          <w:highlight w:val="none"/>
          <w:u w:val="single"/>
          <w:lang w:val="en-US" w:eastAsia="zh-CN"/>
        </w:rPr>
        <w:t>时，</w:t>
      </w:r>
      <w:r>
        <w:rPr>
          <w:rFonts w:hint="eastAsia" w:ascii="宋体" w:hAnsi="宋体" w:eastAsia="宋体" w:cs="宋体"/>
          <w:b/>
          <w:color w:val="auto"/>
          <w:kern w:val="0"/>
          <w:sz w:val="21"/>
          <w:szCs w:val="21"/>
          <w:highlight w:val="none"/>
          <w:u w:val="single"/>
        </w:rPr>
        <w:t>对超过部分进行调</w:t>
      </w:r>
      <w:r>
        <w:rPr>
          <w:rFonts w:hint="eastAsia" w:ascii="宋体" w:hAnsi="宋体" w:eastAsia="宋体" w:cs="宋体"/>
          <w:b/>
          <w:color w:val="auto"/>
          <w:kern w:val="0"/>
          <w:sz w:val="21"/>
          <w:szCs w:val="21"/>
          <w:highlight w:val="none"/>
          <w:u w:val="single"/>
          <w:lang w:val="en-US" w:eastAsia="zh-CN"/>
        </w:rPr>
        <w:t>差</w:t>
      </w:r>
      <w:r>
        <w:rPr>
          <w:rFonts w:hint="eastAsia" w:ascii="宋体" w:hAnsi="宋体" w:eastAsia="宋体" w:cs="宋体"/>
          <w:b/>
          <w:color w:val="auto"/>
          <w:kern w:val="0"/>
          <w:sz w:val="21"/>
          <w:szCs w:val="21"/>
          <w:highlight w:val="none"/>
          <w:u w:val="single"/>
          <w:lang w:eastAsia="zh-CN"/>
        </w:rPr>
        <w:t>，</w:t>
      </w:r>
      <w:r>
        <w:rPr>
          <w:rFonts w:hint="eastAsia" w:ascii="宋体" w:hAnsi="宋体" w:eastAsia="宋体" w:cs="宋体"/>
          <w:b/>
          <w:color w:val="auto"/>
          <w:sz w:val="21"/>
          <w:szCs w:val="21"/>
          <w:highlight w:val="none"/>
          <w:u w:val="single"/>
          <w:lang w:val="en-US" w:eastAsia="zh-CN"/>
        </w:rPr>
        <w:t>超过部分差价只计增值税并按中标下浮率进行下浮；中标下浮率=（1-（中标价-不参与竞争部分造价）/（标底价-不参与竞争部分造价））×100%；</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b/>
          <w:bCs w:val="0"/>
          <w:i w:val="0"/>
          <w:iCs w:val="0"/>
          <w:color w:val="auto"/>
          <w:sz w:val="21"/>
          <w:szCs w:val="21"/>
          <w:highlight w:val="none"/>
          <w:u w:val="single"/>
          <w:lang w:val="en-US"/>
        </w:rPr>
      </w:pPr>
      <w:r>
        <w:rPr>
          <w:rFonts w:hint="eastAsia" w:ascii="宋体" w:hAnsi="宋体" w:eastAsia="宋体" w:cs="宋体"/>
          <w:b/>
          <w:color w:val="auto"/>
          <w:sz w:val="21"/>
          <w:szCs w:val="21"/>
          <w:highlight w:val="none"/>
          <w:u w:val="single"/>
          <w:lang w:val="en-US" w:eastAsia="zh-CN"/>
        </w:rPr>
        <w:t>⑦合同期内其他材料价格不作调整</w:t>
      </w:r>
      <w:r>
        <w:rPr>
          <w:rFonts w:hint="eastAsia" w:ascii="宋体" w:hAnsi="宋体" w:eastAsia="宋体" w:cs="宋体"/>
          <w:b/>
          <w:bCs w:val="0"/>
          <w:i w:val="0"/>
          <w:iCs w:val="0"/>
          <w:color w:val="auto"/>
          <w:kern w:val="2"/>
          <w:sz w:val="21"/>
          <w:szCs w:val="21"/>
          <w:highlight w:val="none"/>
          <w:u w:val="single"/>
          <w:lang w:val="en-US" w:eastAsia="zh-CN" w:bidi="ar"/>
        </w:rPr>
        <w:t>。</w:t>
      </w: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firstLine="420" w:firstLineChars="200"/>
        <w:jc w:val="both"/>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11.2 由于设计变更引起的工程量增减；</w:t>
      </w: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firstLine="420" w:firstLineChars="200"/>
        <w:jc w:val="both"/>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11.3招标人提供的工程量清单项目或数量有误；</w:t>
      </w: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firstLine="420" w:firstLineChars="200"/>
        <w:jc w:val="both"/>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11.4 法律、法规和政策变化导致的调整。</w:t>
      </w: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firstLine="420"/>
        <w:jc w:val="left"/>
        <w:rPr>
          <w:rFonts w:hint="eastAsia" w:ascii="宋体" w:hAnsi="宋体" w:eastAsia="宋体" w:cs="宋体"/>
          <w:b/>
          <w:i w:val="0"/>
          <w:iCs w:val="0"/>
          <w:color w:val="auto"/>
          <w:kern w:val="0"/>
          <w:sz w:val="21"/>
          <w:szCs w:val="21"/>
          <w:highlight w:val="none"/>
          <w:u w:val="single"/>
        </w:rPr>
      </w:pPr>
      <w:r>
        <w:rPr>
          <w:rFonts w:hint="eastAsia" w:ascii="宋体" w:hAnsi="宋体" w:eastAsia="宋体" w:cs="宋体"/>
          <w:i w:val="0"/>
          <w:iCs w:val="0"/>
          <w:color w:val="auto"/>
          <w:kern w:val="2"/>
          <w:sz w:val="21"/>
          <w:szCs w:val="21"/>
          <w:highlight w:val="none"/>
          <w:lang w:val="en-US" w:eastAsia="zh-CN" w:bidi="ar-SA"/>
        </w:rPr>
        <w:t>11.5</w:t>
      </w:r>
      <w:r>
        <w:rPr>
          <w:rFonts w:hint="eastAsia" w:ascii="宋体" w:hAnsi="宋体" w:eastAsia="宋体" w:cs="宋体"/>
          <w:b/>
          <w:i w:val="0"/>
          <w:iCs w:val="0"/>
          <w:color w:val="auto"/>
          <w:sz w:val="21"/>
          <w:szCs w:val="21"/>
          <w:highlight w:val="none"/>
          <w:u w:val="single"/>
          <w:lang w:val="en-US" w:eastAsia="zh-CN"/>
        </w:rPr>
        <w:t>本工程的工程量按实调整</w:t>
      </w:r>
      <w:r>
        <w:rPr>
          <w:rFonts w:hint="eastAsia" w:ascii="宋体" w:hAnsi="宋体" w:eastAsia="宋体" w:cs="宋体"/>
          <w:b/>
          <w:bCs w:val="0"/>
          <w:i w:val="0"/>
          <w:iCs w:val="0"/>
          <w:color w:val="auto"/>
          <w:kern w:val="2"/>
          <w:sz w:val="21"/>
          <w:szCs w:val="21"/>
          <w:highlight w:val="none"/>
          <w:lang w:val="en-US" w:eastAsia="zh-CN" w:bidi="ar"/>
        </w:rPr>
        <w:t>。</w:t>
      </w:r>
    </w:p>
    <w:bookmarkEnd w:id="449"/>
    <w:bookmarkEnd w:id="450"/>
    <w:bookmarkEnd w:id="451"/>
    <w:bookmarkEnd w:id="452"/>
    <w:bookmarkEnd w:id="453"/>
    <w:bookmarkEnd w:id="454"/>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562" w:name="_Toc297048391"/>
      <w:bookmarkStart w:id="563" w:name="_Toc296891245"/>
      <w:bookmarkStart w:id="564" w:name="_Toc296891033"/>
      <w:bookmarkStart w:id="565" w:name="_Toc297120505"/>
      <w:bookmarkStart w:id="566" w:name="_Toc296944544"/>
      <w:bookmarkStart w:id="567" w:name="_Toc296503205"/>
      <w:bookmarkStart w:id="568" w:name="_Toc296347204"/>
      <w:bookmarkStart w:id="569" w:name="_Toc292559410"/>
      <w:bookmarkStart w:id="570" w:name="_Toc296346706"/>
      <w:bookmarkStart w:id="571" w:name="_Toc292559915"/>
      <w:bookmarkStart w:id="572" w:name="_Toc351203644"/>
      <w:bookmarkStart w:id="573" w:name="_Toc303539159"/>
      <w:bookmarkStart w:id="574" w:name="_Toc304295579"/>
      <w:bookmarkStart w:id="575" w:name="_Toc297123552"/>
      <w:bookmarkStart w:id="576" w:name="_Toc300935002"/>
      <w:bookmarkStart w:id="577" w:name="_Toc297216211"/>
      <w:bookmarkStart w:id="578" w:name="_Toc312678040"/>
      <w:r>
        <w:rPr>
          <w:rFonts w:hint="eastAsia" w:ascii="宋体" w:hAnsi="宋体" w:eastAsia="宋体" w:cs="宋体"/>
          <w:bCs/>
          <w:i w:val="0"/>
          <w:iCs w:val="0"/>
          <w:color w:val="auto"/>
          <w:kern w:val="2"/>
          <w:sz w:val="21"/>
          <w:szCs w:val="21"/>
          <w:highlight w:val="none"/>
        </w:rPr>
        <w:t xml:space="preserve">12. </w:t>
      </w:r>
      <w:bookmarkEnd w:id="562"/>
      <w:bookmarkEnd w:id="563"/>
      <w:bookmarkEnd w:id="564"/>
      <w:bookmarkEnd w:id="565"/>
      <w:bookmarkEnd w:id="566"/>
      <w:bookmarkEnd w:id="567"/>
      <w:bookmarkEnd w:id="568"/>
      <w:bookmarkEnd w:id="569"/>
      <w:bookmarkEnd w:id="570"/>
      <w:bookmarkEnd w:id="571"/>
      <w:r>
        <w:rPr>
          <w:rFonts w:hint="eastAsia" w:ascii="宋体" w:hAnsi="宋体" w:eastAsia="宋体" w:cs="宋体"/>
          <w:bCs/>
          <w:i w:val="0"/>
          <w:iCs w:val="0"/>
          <w:color w:val="auto"/>
          <w:kern w:val="2"/>
          <w:sz w:val="21"/>
          <w:szCs w:val="21"/>
          <w:highlight w:val="none"/>
        </w:rPr>
        <w:t>合同价格、计量与支付</w:t>
      </w:r>
      <w:bookmarkEnd w:id="572"/>
    </w:p>
    <w:bookmarkEnd w:id="573"/>
    <w:bookmarkEnd w:id="574"/>
    <w:bookmarkEnd w:id="575"/>
    <w:bookmarkEnd w:id="576"/>
    <w:bookmarkEnd w:id="577"/>
    <w:bookmarkEnd w:id="578"/>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bookmarkStart w:id="579" w:name="_Toc292559411"/>
      <w:bookmarkStart w:id="580" w:name="_Toc267251461"/>
      <w:bookmarkStart w:id="581" w:name="_Toc292559916"/>
      <w:bookmarkStart w:id="582" w:name="_Toc296346707"/>
      <w:bookmarkStart w:id="583" w:name="_Toc296944545"/>
      <w:bookmarkStart w:id="584" w:name="_Toc297048392"/>
      <w:bookmarkStart w:id="585" w:name="_Toc297120506"/>
      <w:bookmarkStart w:id="586" w:name="_Toc296503206"/>
      <w:bookmarkStart w:id="587" w:name="_Toc296891246"/>
      <w:bookmarkStart w:id="588" w:name="_Toc296891034"/>
      <w:bookmarkStart w:id="589" w:name="_Toc296347205"/>
      <w:bookmarkStart w:id="590" w:name="_Toc297123553"/>
      <w:bookmarkStart w:id="591" w:name="_Toc304295580"/>
      <w:bookmarkStart w:id="592" w:name="_Toc297216212"/>
      <w:bookmarkStart w:id="593" w:name="_Toc303539160"/>
      <w:bookmarkStart w:id="594" w:name="_Toc312678041"/>
      <w:bookmarkStart w:id="595" w:name="_Toc300935003"/>
      <w:r>
        <w:rPr>
          <w:rFonts w:hint="eastAsia" w:ascii="宋体" w:hAnsi="宋体" w:eastAsia="宋体" w:cs="宋体"/>
          <w:i w:val="0"/>
          <w:iCs w:val="0"/>
          <w:color w:val="auto"/>
          <w:kern w:val="2"/>
          <w:sz w:val="21"/>
          <w:szCs w:val="21"/>
          <w:highlight w:val="none"/>
        </w:rPr>
        <w:t>12.1 合</w:t>
      </w:r>
      <w:bookmarkEnd w:id="579"/>
      <w:bookmarkEnd w:id="580"/>
      <w:bookmarkEnd w:id="581"/>
      <w:r>
        <w:rPr>
          <w:rFonts w:hint="eastAsia" w:ascii="宋体" w:hAnsi="宋体" w:eastAsia="宋体" w:cs="宋体"/>
          <w:i w:val="0"/>
          <w:iCs w:val="0"/>
          <w:color w:val="auto"/>
          <w:kern w:val="2"/>
          <w:sz w:val="21"/>
          <w:szCs w:val="21"/>
          <w:highlight w:val="none"/>
        </w:rPr>
        <w:t>同价</w:t>
      </w:r>
      <w:bookmarkEnd w:id="582"/>
      <w:bookmarkEnd w:id="583"/>
      <w:bookmarkEnd w:id="584"/>
      <w:bookmarkEnd w:id="585"/>
      <w:bookmarkEnd w:id="586"/>
      <w:bookmarkEnd w:id="587"/>
      <w:bookmarkEnd w:id="588"/>
      <w:bookmarkEnd w:id="589"/>
      <w:r>
        <w:rPr>
          <w:rFonts w:hint="eastAsia" w:ascii="宋体" w:hAnsi="宋体" w:eastAsia="宋体" w:cs="宋体"/>
          <w:i w:val="0"/>
          <w:iCs w:val="0"/>
          <w:color w:val="auto"/>
          <w:kern w:val="2"/>
          <w:sz w:val="21"/>
          <w:szCs w:val="21"/>
          <w:highlight w:val="none"/>
        </w:rPr>
        <w:t>格形式</w:t>
      </w:r>
    </w:p>
    <w:bookmarkEnd w:id="590"/>
    <w:bookmarkEnd w:id="591"/>
    <w:bookmarkEnd w:id="592"/>
    <w:bookmarkEnd w:id="593"/>
    <w:bookmarkEnd w:id="594"/>
    <w:bookmarkEnd w:id="595"/>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1、单价合同。</w:t>
      </w:r>
    </w:p>
    <w:p>
      <w:pPr>
        <w:pStyle w:val="33"/>
        <w:pageBreakBefore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综合单价包含的风险范围：</w:t>
      </w:r>
    </w:p>
    <w:p>
      <w:pPr>
        <w:pStyle w:val="33"/>
        <w:pageBreakBefore w:val="0"/>
        <w:kinsoku/>
        <w:wordWrap/>
        <w:overflowPunct/>
        <w:topLinePunct w:val="0"/>
        <w:autoSpaceDE/>
        <w:autoSpaceDN/>
        <w:bidi w:val="0"/>
        <w:adjustRightInd w:val="0"/>
        <w:snapToGrid w:val="0"/>
        <w:spacing w:line="440" w:lineRule="exact"/>
        <w:ind w:firstLine="422" w:firstLineChars="200"/>
        <w:rPr>
          <w:rFonts w:hint="eastAsia" w:ascii="宋体" w:hAnsi="宋体" w:eastAsia="宋体" w:cs="宋体"/>
          <w:b/>
          <w:i w:val="0"/>
          <w:iCs w:val="0"/>
          <w:color w:val="auto"/>
          <w:kern w:val="0"/>
          <w:sz w:val="21"/>
          <w:szCs w:val="21"/>
          <w:highlight w:val="none"/>
          <w:u w:val="single"/>
        </w:rPr>
      </w:pPr>
      <w:r>
        <w:rPr>
          <w:rFonts w:hint="eastAsia" w:ascii="宋体" w:hAnsi="宋体" w:eastAsia="宋体" w:cs="宋体"/>
          <w:b/>
          <w:i w:val="0"/>
          <w:iCs w:val="0"/>
          <w:color w:val="auto"/>
          <w:kern w:val="0"/>
          <w:sz w:val="21"/>
          <w:szCs w:val="21"/>
          <w:highlight w:val="none"/>
          <w:u w:val="single"/>
        </w:rPr>
        <w:t>（1）</w:t>
      </w:r>
      <w:r>
        <w:rPr>
          <w:rFonts w:hint="eastAsia" w:ascii="宋体" w:hAnsi="宋体" w:eastAsia="宋体" w:cs="宋体"/>
          <w:b/>
          <w:bCs/>
          <w:color w:val="auto"/>
          <w:sz w:val="21"/>
          <w:szCs w:val="21"/>
          <w:highlight w:val="none"/>
          <w:u w:val="single"/>
        </w:rPr>
        <w:t>11.1款约定调整内容外的人工、</w:t>
      </w:r>
      <w:r>
        <w:rPr>
          <w:rFonts w:hint="eastAsia" w:ascii="宋体" w:hAnsi="宋体" w:eastAsia="宋体" w:cs="宋体"/>
          <w:b/>
          <w:bCs/>
          <w:color w:val="auto"/>
          <w:kern w:val="0"/>
          <w:sz w:val="21"/>
          <w:szCs w:val="21"/>
          <w:highlight w:val="none"/>
          <w:u w:val="single"/>
          <w:shd w:val="clear" w:color="auto" w:fill="FFFFFF"/>
        </w:rPr>
        <w:t>材料、机械价格涨跌及技术风险和管理风险</w:t>
      </w:r>
      <w:r>
        <w:rPr>
          <w:rFonts w:hint="eastAsia" w:ascii="宋体" w:hAnsi="宋体" w:eastAsia="宋体" w:cs="宋体"/>
          <w:b/>
          <w:i w:val="0"/>
          <w:iCs w:val="0"/>
          <w:color w:val="auto"/>
          <w:kern w:val="0"/>
          <w:sz w:val="21"/>
          <w:szCs w:val="21"/>
          <w:highlight w:val="none"/>
          <w:u w:val="single"/>
        </w:rPr>
        <w:t>；</w:t>
      </w:r>
    </w:p>
    <w:p>
      <w:pPr>
        <w:pStyle w:val="33"/>
        <w:pageBreakBefore w:val="0"/>
        <w:kinsoku/>
        <w:wordWrap/>
        <w:overflowPunct/>
        <w:topLinePunct w:val="0"/>
        <w:autoSpaceDE/>
        <w:autoSpaceDN/>
        <w:bidi w:val="0"/>
        <w:adjustRightInd w:val="0"/>
        <w:snapToGrid w:val="0"/>
        <w:spacing w:line="440" w:lineRule="exact"/>
        <w:ind w:firstLine="422" w:firstLineChars="200"/>
        <w:rPr>
          <w:rFonts w:hint="eastAsia" w:ascii="宋体" w:hAnsi="宋体" w:eastAsia="宋体" w:cs="宋体"/>
          <w:b/>
          <w:i w:val="0"/>
          <w:iCs w:val="0"/>
          <w:color w:val="auto"/>
          <w:kern w:val="0"/>
          <w:sz w:val="21"/>
          <w:szCs w:val="21"/>
          <w:highlight w:val="none"/>
          <w:u w:val="single"/>
        </w:rPr>
      </w:pPr>
      <w:r>
        <w:rPr>
          <w:rFonts w:hint="eastAsia" w:ascii="宋体" w:hAnsi="宋体" w:eastAsia="宋体" w:cs="宋体"/>
          <w:b/>
          <w:i w:val="0"/>
          <w:iCs w:val="0"/>
          <w:color w:val="auto"/>
          <w:kern w:val="0"/>
          <w:sz w:val="21"/>
          <w:szCs w:val="21"/>
          <w:highlight w:val="none"/>
          <w:u w:val="single"/>
          <w:lang w:eastAsia="zh-CN"/>
        </w:rPr>
        <w:t>（</w:t>
      </w:r>
      <w:r>
        <w:rPr>
          <w:rFonts w:hint="eastAsia" w:ascii="宋体" w:hAnsi="宋体" w:eastAsia="宋体" w:cs="宋体"/>
          <w:b/>
          <w:i w:val="0"/>
          <w:iCs w:val="0"/>
          <w:color w:val="auto"/>
          <w:kern w:val="0"/>
          <w:sz w:val="21"/>
          <w:szCs w:val="21"/>
          <w:highlight w:val="none"/>
          <w:u w:val="single"/>
          <w:lang w:val="en-US" w:eastAsia="zh-CN"/>
        </w:rPr>
        <w:t>2</w:t>
      </w:r>
      <w:r>
        <w:rPr>
          <w:rFonts w:hint="eastAsia" w:ascii="宋体" w:hAnsi="宋体" w:eastAsia="宋体" w:cs="宋体"/>
          <w:b/>
          <w:i w:val="0"/>
          <w:iCs w:val="0"/>
          <w:color w:val="auto"/>
          <w:kern w:val="0"/>
          <w:sz w:val="21"/>
          <w:szCs w:val="21"/>
          <w:highlight w:val="none"/>
          <w:u w:val="single"/>
          <w:lang w:eastAsia="zh-CN"/>
        </w:rPr>
        <w:t>）</w:t>
      </w:r>
      <w:r>
        <w:rPr>
          <w:rFonts w:hint="eastAsia" w:ascii="宋体" w:hAnsi="宋体" w:eastAsia="宋体" w:cs="宋体"/>
          <w:b/>
          <w:i w:val="0"/>
          <w:iCs w:val="0"/>
          <w:color w:val="auto"/>
          <w:kern w:val="0"/>
          <w:sz w:val="21"/>
          <w:szCs w:val="21"/>
          <w:highlight w:val="none"/>
          <w:u w:val="single"/>
          <w:lang w:val="en-US" w:eastAsia="zh-CN"/>
        </w:rPr>
        <w:t>在工程施工中作为有经验的承包人应能预见的费用；</w:t>
      </w:r>
    </w:p>
    <w:p>
      <w:pPr>
        <w:pStyle w:val="33"/>
        <w:pageBreakBefore w:val="0"/>
        <w:kinsoku/>
        <w:wordWrap/>
        <w:overflowPunct/>
        <w:topLinePunct w:val="0"/>
        <w:autoSpaceDE/>
        <w:autoSpaceDN/>
        <w:bidi w:val="0"/>
        <w:adjustRightInd w:val="0"/>
        <w:snapToGrid w:val="0"/>
        <w:spacing w:line="440" w:lineRule="exact"/>
        <w:ind w:firstLine="422" w:firstLineChars="200"/>
        <w:rPr>
          <w:rFonts w:hint="eastAsia" w:ascii="宋体" w:hAnsi="宋体" w:eastAsia="宋体" w:cs="宋体"/>
          <w:b/>
          <w:i w:val="0"/>
          <w:iCs w:val="0"/>
          <w:color w:val="auto"/>
          <w:kern w:val="0"/>
          <w:sz w:val="21"/>
          <w:szCs w:val="21"/>
          <w:highlight w:val="none"/>
          <w:u w:val="single"/>
        </w:rPr>
      </w:pPr>
      <w:r>
        <w:rPr>
          <w:rFonts w:hint="eastAsia" w:ascii="宋体" w:hAnsi="宋体" w:eastAsia="宋体" w:cs="宋体"/>
          <w:b/>
          <w:i w:val="0"/>
          <w:iCs w:val="0"/>
          <w:color w:val="auto"/>
          <w:kern w:val="0"/>
          <w:sz w:val="21"/>
          <w:szCs w:val="21"/>
          <w:highlight w:val="none"/>
          <w:u w:val="single"/>
        </w:rPr>
        <w:t>（</w:t>
      </w:r>
      <w:r>
        <w:rPr>
          <w:rFonts w:hint="eastAsia" w:ascii="宋体" w:hAnsi="宋体" w:eastAsia="宋体" w:cs="宋体"/>
          <w:b/>
          <w:i w:val="0"/>
          <w:iCs w:val="0"/>
          <w:color w:val="auto"/>
          <w:kern w:val="0"/>
          <w:sz w:val="21"/>
          <w:szCs w:val="21"/>
          <w:highlight w:val="none"/>
          <w:u w:val="single"/>
          <w:lang w:val="en-US" w:eastAsia="zh-CN"/>
        </w:rPr>
        <w:t>3</w:t>
      </w:r>
      <w:r>
        <w:rPr>
          <w:rFonts w:hint="eastAsia" w:ascii="宋体" w:hAnsi="宋体" w:eastAsia="宋体" w:cs="宋体"/>
          <w:b/>
          <w:i w:val="0"/>
          <w:iCs w:val="0"/>
          <w:color w:val="auto"/>
          <w:kern w:val="0"/>
          <w:sz w:val="21"/>
          <w:szCs w:val="21"/>
          <w:highlight w:val="none"/>
          <w:u w:val="single"/>
        </w:rPr>
        <w:t>）承包人对工程现场环境以及发包人提供的招标文件、图纸等资料作出错误的推论、理解而导致的报价失误；</w:t>
      </w:r>
    </w:p>
    <w:p>
      <w:pPr>
        <w:pStyle w:val="33"/>
        <w:pageBreakBefore w:val="0"/>
        <w:kinsoku/>
        <w:wordWrap/>
        <w:overflowPunct/>
        <w:topLinePunct w:val="0"/>
        <w:autoSpaceDE/>
        <w:autoSpaceDN/>
        <w:bidi w:val="0"/>
        <w:adjustRightInd w:val="0"/>
        <w:snapToGrid w:val="0"/>
        <w:spacing w:line="440" w:lineRule="exact"/>
        <w:ind w:firstLine="422" w:firstLineChars="200"/>
        <w:rPr>
          <w:rFonts w:hint="eastAsia" w:ascii="宋体" w:hAnsi="宋体" w:eastAsia="宋体" w:cs="宋体"/>
          <w:b/>
          <w:bCs/>
          <w:i w:val="0"/>
          <w:iCs w:val="0"/>
          <w:color w:val="auto"/>
          <w:sz w:val="21"/>
          <w:szCs w:val="21"/>
          <w:highlight w:val="none"/>
        </w:rPr>
      </w:pPr>
      <w:r>
        <w:rPr>
          <w:rFonts w:hint="eastAsia" w:ascii="宋体" w:hAnsi="宋体" w:eastAsia="宋体" w:cs="宋体"/>
          <w:b/>
          <w:i w:val="0"/>
          <w:iCs w:val="0"/>
          <w:color w:val="auto"/>
          <w:kern w:val="0"/>
          <w:sz w:val="21"/>
          <w:szCs w:val="21"/>
          <w:highlight w:val="none"/>
          <w:u w:val="single"/>
        </w:rPr>
        <w:t>（</w:t>
      </w:r>
      <w:r>
        <w:rPr>
          <w:rFonts w:hint="eastAsia" w:ascii="宋体" w:hAnsi="宋体" w:eastAsia="宋体" w:cs="宋体"/>
          <w:b/>
          <w:i w:val="0"/>
          <w:iCs w:val="0"/>
          <w:color w:val="auto"/>
          <w:kern w:val="0"/>
          <w:sz w:val="21"/>
          <w:szCs w:val="21"/>
          <w:highlight w:val="none"/>
          <w:u w:val="single"/>
          <w:lang w:val="en-US" w:eastAsia="zh-CN"/>
        </w:rPr>
        <w:t>4</w:t>
      </w:r>
      <w:r>
        <w:rPr>
          <w:rFonts w:hint="eastAsia" w:ascii="宋体" w:hAnsi="宋体" w:eastAsia="宋体" w:cs="宋体"/>
          <w:b/>
          <w:i w:val="0"/>
          <w:iCs w:val="0"/>
          <w:color w:val="auto"/>
          <w:kern w:val="0"/>
          <w:sz w:val="21"/>
          <w:szCs w:val="21"/>
          <w:highlight w:val="none"/>
          <w:u w:val="single"/>
        </w:rPr>
        <w:t>）现行预算定额或计价规范未描述到，但又是按照施工工艺、施工规范、验收规范及质量通病防治措施等完成分项工程所必要的工作内容，均应包括在本合同总报价内。</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风险费用的计算方法：</w:t>
      </w:r>
      <w:r>
        <w:rPr>
          <w:rFonts w:hint="eastAsia" w:ascii="宋体" w:hAnsi="宋体" w:eastAsia="宋体" w:cs="宋体"/>
          <w:b/>
          <w:i w:val="0"/>
          <w:iCs w:val="0"/>
          <w:color w:val="auto"/>
          <w:sz w:val="21"/>
          <w:szCs w:val="21"/>
          <w:highlight w:val="none"/>
          <w:u w:val="single"/>
        </w:rPr>
        <w:t xml:space="preserve">已包含在综合单价中。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风险范围以外合同价格的调整方法：</w:t>
      </w:r>
      <w:r>
        <w:rPr>
          <w:rFonts w:hint="eastAsia" w:ascii="宋体" w:hAnsi="宋体" w:eastAsia="宋体" w:cs="宋体"/>
          <w:b/>
          <w:bCs/>
          <w:color w:val="auto"/>
          <w:kern w:val="2"/>
          <w:sz w:val="21"/>
          <w:szCs w:val="21"/>
          <w:highlight w:val="none"/>
          <w:u w:val="single"/>
        </w:rPr>
        <w:t>市场价格波动（波动率超过合同约定幅度的）引起的调整按本合同 11.1 第 3 种方式的约定计算</w:t>
      </w:r>
      <w:r>
        <w:rPr>
          <w:rFonts w:hint="eastAsia" w:ascii="宋体" w:hAnsi="宋体" w:eastAsia="宋体" w:cs="宋体"/>
          <w:b/>
          <w:i w:val="0"/>
          <w:iCs w:val="0"/>
          <w:color w:val="auto"/>
          <w:sz w:val="21"/>
          <w:szCs w:val="21"/>
          <w:highlight w:val="none"/>
          <w:u w:val="singl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2、总价合同。</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总价包含的风险范围：</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风险费用的计算方法：</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风险范围以外合同价格的调整方法：</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 xml:space="preserve">。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3、其他价格方式：</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bookmarkStart w:id="596" w:name="_Toc297216213"/>
      <w:bookmarkStart w:id="597" w:name="_Toc303539161"/>
      <w:bookmarkStart w:id="598" w:name="_Toc312678042"/>
      <w:bookmarkStart w:id="599" w:name="_Toc297123554"/>
      <w:bookmarkStart w:id="600" w:name="_Toc300935004"/>
      <w:bookmarkStart w:id="601" w:name="_Toc304295581"/>
      <w:bookmarkStart w:id="602" w:name="_Toc297120507"/>
      <w:bookmarkStart w:id="603" w:name="_Toc296347206"/>
      <w:bookmarkStart w:id="604" w:name="_Toc296944546"/>
      <w:bookmarkStart w:id="605" w:name="_Toc296891035"/>
      <w:bookmarkStart w:id="606" w:name="_Toc292559412"/>
      <w:bookmarkStart w:id="607" w:name="_Toc296503207"/>
      <w:bookmarkStart w:id="608" w:name="_Toc292559917"/>
      <w:bookmarkStart w:id="609" w:name="_Toc297048393"/>
      <w:bookmarkStart w:id="610" w:name="_Toc296346708"/>
      <w:bookmarkStart w:id="611" w:name="_Toc296891247"/>
      <w:r>
        <w:rPr>
          <w:rFonts w:hint="eastAsia" w:ascii="宋体" w:hAnsi="宋体" w:eastAsia="宋体" w:cs="宋体"/>
          <w:i w:val="0"/>
          <w:iCs w:val="0"/>
          <w:color w:val="auto"/>
          <w:kern w:val="2"/>
          <w:sz w:val="21"/>
          <w:szCs w:val="21"/>
          <w:highlight w:val="none"/>
        </w:rPr>
        <w:t>12.2 预付款</w:t>
      </w:r>
    </w:p>
    <w:bookmarkEnd w:id="596"/>
    <w:bookmarkEnd w:id="597"/>
    <w:bookmarkEnd w:id="598"/>
    <w:bookmarkEnd w:id="599"/>
    <w:bookmarkEnd w:id="600"/>
    <w:bookmarkEnd w:id="601"/>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12.2.1 预付款的支付</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bCs/>
          <w:iCs/>
          <w:color w:val="auto"/>
          <w:kern w:val="2"/>
          <w:sz w:val="21"/>
          <w:szCs w:val="21"/>
          <w:highlight w:val="none"/>
        </w:rPr>
      </w:pPr>
      <w:r>
        <w:rPr>
          <w:rFonts w:hint="eastAsia" w:ascii="宋体" w:hAnsi="宋体" w:eastAsia="宋体" w:cs="宋体"/>
          <w:i w:val="0"/>
          <w:iCs w:val="0"/>
          <w:color w:val="auto"/>
          <w:kern w:val="2"/>
          <w:sz w:val="21"/>
          <w:szCs w:val="21"/>
          <w:highlight w:val="none"/>
        </w:rPr>
        <w:t>预付款支付比例或金额：</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Cs/>
          <w:color w:val="auto"/>
          <w:kern w:val="2"/>
          <w:sz w:val="21"/>
          <w:szCs w:val="21"/>
          <w:highlight w:val="none"/>
          <w:u w:val="single"/>
        </w:rPr>
        <w:t>合同价的10%，基数为合同价扣除暂（估）列金额及安全文明施工费</w:t>
      </w:r>
      <w:r>
        <w:rPr>
          <w:rFonts w:hint="eastAsia" w:ascii="宋体" w:hAnsi="宋体" w:eastAsia="宋体" w:cs="宋体"/>
          <w:b/>
          <w:bCs/>
          <w:iCs/>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bCs/>
          <w:iCs/>
          <w:color w:val="auto"/>
          <w:kern w:val="2"/>
          <w:sz w:val="21"/>
          <w:szCs w:val="21"/>
          <w:highlight w:val="none"/>
        </w:rPr>
      </w:pPr>
      <w:r>
        <w:rPr>
          <w:rFonts w:hint="eastAsia" w:ascii="宋体" w:hAnsi="宋体" w:eastAsia="宋体" w:cs="宋体"/>
          <w:i w:val="0"/>
          <w:iCs w:val="0"/>
          <w:color w:val="auto"/>
          <w:kern w:val="2"/>
          <w:sz w:val="21"/>
          <w:szCs w:val="21"/>
          <w:highlight w:val="none"/>
        </w:rPr>
        <w:t>预付款支付期限：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Cs/>
          <w:color w:val="auto"/>
          <w:kern w:val="2"/>
          <w:sz w:val="21"/>
          <w:szCs w:val="21"/>
          <w:highlight w:val="none"/>
          <w:u w:val="single"/>
        </w:rPr>
        <w:t>合同签订、承包人递交履约保函、总监理工程师发出开工指令后一个月内支付</w:t>
      </w:r>
      <w:r>
        <w:rPr>
          <w:rFonts w:hint="eastAsia" w:ascii="宋体" w:hAnsi="宋体" w:eastAsia="宋体" w:cs="宋体"/>
          <w:b/>
          <w:bCs/>
          <w:iCs/>
          <w:color w:val="auto"/>
          <w:kern w:val="2"/>
          <w:sz w:val="21"/>
          <w:szCs w:val="21"/>
          <w:highlight w:val="none"/>
        </w:rPr>
        <w:t>。</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预付款扣回的方式：</w:t>
      </w:r>
      <w:r>
        <w:rPr>
          <w:rFonts w:hint="eastAsia" w:ascii="宋体" w:hAnsi="宋体" w:eastAsia="宋体" w:cs="宋体"/>
          <w:b/>
          <w:bCs/>
          <w:iCs/>
          <w:color w:val="auto"/>
          <w:kern w:val="2"/>
          <w:sz w:val="21"/>
          <w:szCs w:val="21"/>
          <w:highlight w:val="none"/>
          <w:u w:val="single"/>
        </w:rPr>
        <w:t>在工程产值累计完成超过10%时开始在进度款中扣回预付款，分3期扣回，第一期回扣50%，第二期回扣30%，第三期回扣扣完全部的预付款；当月可支付工程款不足以扣回预付款时，当月不支付工程款，未抵扣预付款至下期扣回。安全文明措施费预付款不扣回。</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12.2.2 预付款担保</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承包人提交预付款担保的期限：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预付款担保的形式为：</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602"/>
    <w:bookmarkEnd w:id="603"/>
    <w:bookmarkEnd w:id="604"/>
    <w:bookmarkEnd w:id="605"/>
    <w:bookmarkEnd w:id="606"/>
    <w:bookmarkEnd w:id="607"/>
    <w:bookmarkEnd w:id="608"/>
    <w:bookmarkEnd w:id="609"/>
    <w:bookmarkEnd w:id="610"/>
    <w:bookmarkEnd w:id="611"/>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12.3 计量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12.3.1 计量原则</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工程量计算规则：</w:t>
      </w:r>
      <w:r>
        <w:rPr>
          <w:rFonts w:hint="eastAsia" w:ascii="宋体" w:hAnsi="宋体" w:eastAsia="宋体" w:cs="宋体"/>
          <w:b/>
          <w:i w:val="0"/>
          <w:iCs w:val="0"/>
          <w:color w:val="auto"/>
          <w:sz w:val="21"/>
          <w:szCs w:val="21"/>
          <w:highlight w:val="none"/>
          <w:u w:val="single"/>
        </w:rPr>
        <w:t>国家、行业标准</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12.3.2 计量周期</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关于计量周期的约定：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按每月20日前完成的实际工程量产值进行计量</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12.3.3 单价合同的计量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关于单价合同计量的约定：</w:t>
      </w:r>
      <w:r>
        <w:rPr>
          <w:rFonts w:hint="eastAsia" w:ascii="宋体" w:hAnsi="宋体" w:eastAsia="宋体" w:cs="宋体"/>
          <w:b/>
          <w:i w:val="0"/>
          <w:iCs w:val="0"/>
          <w:color w:val="auto"/>
          <w:sz w:val="21"/>
          <w:szCs w:val="21"/>
          <w:highlight w:val="none"/>
          <w:u w:val="single"/>
          <w:lang w:val="en-US" w:eastAsia="zh-CN"/>
        </w:rPr>
        <w:t>按照通用条款</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12.3.4 总价合同的计量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关于总价合同计量的约定：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12.3.5总价合同采用支付分解表计量支付的，是否适用第</w:t>
      </w:r>
      <w:r>
        <w:rPr>
          <w:rFonts w:hint="eastAsia" w:ascii="宋体" w:hAnsi="宋体" w:eastAsia="宋体" w:cs="宋体"/>
          <w:i w:val="0"/>
          <w:iCs w:val="0"/>
          <w:color w:val="auto"/>
          <w:sz w:val="21"/>
          <w:szCs w:val="21"/>
          <w:highlight w:val="none"/>
        </w:rPr>
        <w:t xml:space="preserve">12.3.4 </w:t>
      </w:r>
      <w:r>
        <w:rPr>
          <w:rFonts w:hint="eastAsia" w:ascii="宋体" w:hAnsi="宋体" w:eastAsia="宋体" w:cs="宋体"/>
          <w:i w:val="0"/>
          <w:iCs w:val="0"/>
          <w:color w:val="auto"/>
          <w:kern w:val="2"/>
          <w:sz w:val="21"/>
          <w:szCs w:val="21"/>
          <w:highlight w:val="none"/>
        </w:rPr>
        <w:t>项</w:t>
      </w:r>
      <w:r>
        <w:rPr>
          <w:rFonts w:hint="eastAsia" w:ascii="宋体" w:hAnsi="宋体" w:eastAsia="宋体" w:cs="宋体"/>
          <w:i w:val="0"/>
          <w:iCs w:val="0"/>
          <w:color w:val="auto"/>
          <w:sz w:val="21"/>
          <w:szCs w:val="21"/>
          <w:highlight w:val="none"/>
        </w:rPr>
        <w:t>〔总价合同的计量〕</w:t>
      </w:r>
      <w:r>
        <w:rPr>
          <w:rFonts w:hint="eastAsia" w:ascii="宋体" w:hAnsi="宋体" w:eastAsia="宋体" w:cs="宋体"/>
          <w:i w:val="0"/>
          <w:iCs w:val="0"/>
          <w:color w:val="auto"/>
          <w:kern w:val="2"/>
          <w:sz w:val="21"/>
          <w:szCs w:val="21"/>
          <w:highlight w:val="none"/>
        </w:rPr>
        <w:t>约定进行计量：</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12.3.6 其他价格形式合同的计量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其他价格形式的计量方式和程序：</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12.4 工程进度款支付</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bookmarkStart w:id="612" w:name="_Toc303539163"/>
      <w:bookmarkStart w:id="613" w:name="_Toc297123556"/>
      <w:bookmarkStart w:id="614" w:name="_Toc296891251"/>
      <w:bookmarkStart w:id="615" w:name="_Toc296346712"/>
      <w:bookmarkStart w:id="616" w:name="_Toc300935006"/>
      <w:bookmarkStart w:id="617" w:name="_Toc296891039"/>
      <w:bookmarkStart w:id="618" w:name="_Toc296503211"/>
      <w:bookmarkStart w:id="619" w:name="_Toc297216215"/>
      <w:bookmarkStart w:id="620" w:name="_Toc296347210"/>
      <w:bookmarkStart w:id="621" w:name="_Toc297120511"/>
      <w:bookmarkStart w:id="622" w:name="_Toc292559921"/>
      <w:bookmarkStart w:id="623" w:name="_Toc297048397"/>
      <w:bookmarkStart w:id="624" w:name="_Toc292559416"/>
      <w:bookmarkStart w:id="625" w:name="_Toc296944550"/>
      <w:r>
        <w:rPr>
          <w:rFonts w:hint="eastAsia" w:ascii="宋体" w:hAnsi="宋体" w:eastAsia="宋体" w:cs="宋体"/>
          <w:i w:val="0"/>
          <w:iCs w:val="0"/>
          <w:color w:val="auto"/>
          <w:kern w:val="2"/>
          <w:sz w:val="21"/>
          <w:szCs w:val="21"/>
          <w:highlight w:val="none"/>
        </w:rPr>
        <w:t>12.4.1 付款周期</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i w:val="0"/>
          <w:iCs w:val="0"/>
          <w:color w:val="auto"/>
          <w:kern w:val="2"/>
          <w:sz w:val="21"/>
          <w:szCs w:val="21"/>
          <w:highlight w:val="none"/>
        </w:rPr>
        <w:t>关于付款周期的约定：</w:t>
      </w:r>
      <w:r>
        <w:rPr>
          <w:rFonts w:hint="eastAsia" w:ascii="宋体" w:hAnsi="宋体" w:eastAsia="宋体" w:cs="宋体"/>
          <w:b/>
          <w:color w:val="auto"/>
          <w:sz w:val="21"/>
          <w:szCs w:val="21"/>
          <w:highlight w:val="none"/>
          <w:u w:val="single"/>
        </w:rPr>
        <w:t>开工后28天内预付安全文明施工费总额的50%，之后随进度款支付，工程完工前付清。合同签订、承包人交履约保函、总监理工程师发出开工指令后，一个月内支付签约合同价10%的工程预付款（不含暂列金额、暂定价和安全文明施工费），此预付款在工程产值达到合同价的 10%后分3期扣回，第一期回扣50%，第二期回扣30%，第三期回扣扣完全部的预付款，当月可支付产值不足以抵扣预付款时，当月不支付工程款，未抵扣预付款累计入下次抵扣。</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b/>
          <w:color w:val="auto"/>
          <w:sz w:val="21"/>
          <w:szCs w:val="21"/>
          <w:highlight w:val="none"/>
          <w:u w:val="single"/>
          <w:lang w:val="en-US" w:eastAsia="zh-CN" w:bidi="ar-SA"/>
        </w:rPr>
      </w:pPr>
      <w:r>
        <w:rPr>
          <w:rFonts w:hint="eastAsia" w:ascii="宋体" w:hAnsi="宋体" w:eastAsia="宋体" w:cs="宋体"/>
          <w:b/>
          <w:color w:val="auto"/>
          <w:sz w:val="21"/>
          <w:szCs w:val="21"/>
          <w:highlight w:val="none"/>
          <w:u w:val="single"/>
        </w:rPr>
        <w:t>承包人于每月20日前向监理单位及发包人上报产值报表，支付比例为业主审核值的</w:t>
      </w:r>
      <w:r>
        <w:rPr>
          <w:rFonts w:hint="eastAsia" w:ascii="宋体" w:hAnsi="宋体" w:eastAsia="宋体" w:cs="宋体"/>
          <w:b/>
          <w:color w:val="auto"/>
          <w:sz w:val="21"/>
          <w:szCs w:val="21"/>
          <w:highlight w:val="none"/>
          <w:u w:val="single"/>
          <w:lang w:val="en-US" w:eastAsia="zh-CN"/>
        </w:rPr>
        <w:t>85</w:t>
      </w:r>
      <w:r>
        <w:rPr>
          <w:rFonts w:hint="eastAsia" w:ascii="宋体" w:hAnsi="宋体" w:eastAsia="宋体" w:cs="宋体"/>
          <w:b/>
          <w:color w:val="auto"/>
          <w:sz w:val="21"/>
          <w:szCs w:val="21"/>
          <w:highlight w:val="none"/>
          <w:u w:val="single"/>
        </w:rPr>
        <w:t>％；工程竣工验收合格后，竣工资料整理并归档、备案后付至合同价的90％（如实际完成的工程量低于合同</w:t>
      </w:r>
      <w:r>
        <w:rPr>
          <w:rFonts w:hint="eastAsia" w:ascii="宋体" w:hAnsi="宋体" w:eastAsia="宋体" w:cs="宋体"/>
          <w:b/>
          <w:color w:val="auto"/>
          <w:sz w:val="21"/>
          <w:szCs w:val="21"/>
          <w:highlight w:val="none"/>
          <w:u w:val="single"/>
          <w:lang w:val="en-US" w:eastAsia="zh-CN"/>
        </w:rPr>
        <w:t>价</w:t>
      </w:r>
      <w:r>
        <w:rPr>
          <w:rFonts w:hint="eastAsia" w:ascii="宋体" w:hAnsi="宋体" w:eastAsia="宋体" w:cs="宋体"/>
          <w:b/>
          <w:color w:val="auto"/>
          <w:sz w:val="21"/>
          <w:szCs w:val="21"/>
          <w:highlight w:val="none"/>
          <w:u w:val="single"/>
        </w:rPr>
        <w:t>，则付至经甲方核准的实际完成工程量的90％)；工程结算经审计后（甲方委托的造价咨询机构出具的并经乙方审核同意后的审计结果）付至结算价的98.5％；余款1.5％作为工程质量保修金，在保修期满后支付（保修金不计利息，根据实际的保修情况多退少补）</w:t>
      </w:r>
      <w:r>
        <w:rPr>
          <w:rFonts w:hint="eastAsia" w:ascii="宋体" w:hAnsi="宋体" w:eastAsia="宋体" w:cs="宋体"/>
          <w:b/>
          <w:color w:val="auto"/>
          <w:sz w:val="21"/>
          <w:szCs w:val="21"/>
          <w:highlight w:val="none"/>
          <w:u w:val="single"/>
          <w:lang w:val="en-US" w:eastAsia="zh-CN"/>
        </w:rPr>
        <w:t>。承包人未能完成月计划进度或工程质量未达到约定要求的，或者调减变更未及时上报的，发包人有权暂缓支付工程进度款；最终结算价格以甲方委托的造价咨询机构出具的并经乙方审核同意后的审计结果作为工程竣工结算依据</w:t>
      </w:r>
      <w:r>
        <w:rPr>
          <w:rFonts w:hint="eastAsia" w:ascii="宋体" w:hAnsi="宋体" w:eastAsia="宋体" w:cs="宋体"/>
          <w:b/>
          <w:bCs/>
          <w:i w:val="0"/>
          <w:iCs w:val="0"/>
          <w:color w:val="auto"/>
          <w:sz w:val="21"/>
          <w:szCs w:val="21"/>
          <w:highlight w:val="none"/>
          <w:u w:val="single"/>
        </w:rPr>
        <w:t>。</w:t>
      </w:r>
      <w:r>
        <w:rPr>
          <w:rFonts w:hint="eastAsia" w:ascii="宋体" w:hAnsi="宋体" w:eastAsia="宋体" w:cs="宋体"/>
          <w:b/>
          <w:color w:val="auto"/>
          <w:sz w:val="21"/>
          <w:szCs w:val="21"/>
          <w:highlight w:val="none"/>
          <w:u w:val="single"/>
          <w:lang w:val="en-US" w:eastAsia="zh-CN" w:bidi="ar-SA"/>
        </w:rPr>
        <w:t xml:space="preserve"> 若为联合体中标的，由联合体牵头单位提出付款申请，经发包人审核后，工程费用由发包人支付给联合体牵头单位。</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12.4.2 进度付款申请单的编制</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关于进度付款申请单编制的约定：</w:t>
      </w:r>
      <w:r>
        <w:rPr>
          <w:rFonts w:hint="eastAsia" w:ascii="宋体" w:hAnsi="宋体" w:eastAsia="宋体" w:cs="宋体"/>
          <w:b/>
          <w:bCs/>
          <w:i w:val="0"/>
          <w:iCs w:val="0"/>
          <w:color w:val="auto"/>
          <w:sz w:val="21"/>
          <w:szCs w:val="21"/>
          <w:highlight w:val="none"/>
          <w:u w:val="single"/>
          <w:lang w:val="en-US" w:eastAsia="zh-CN"/>
        </w:rPr>
        <w:t>承包人于每月20日前向及发包人上报产值报表（须经监理及全过程造价控制等单位审核）</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Fonts w:hint="eastAsia" w:ascii="宋体" w:hAnsi="宋体" w:eastAsia="宋体" w:cs="宋体"/>
          <w:i w:val="0"/>
          <w:iCs w:val="0"/>
          <w:color w:val="auto"/>
          <w:kern w:val="2"/>
          <w:sz w:val="21"/>
          <w:szCs w:val="21"/>
          <w:highlight w:val="none"/>
        </w:rPr>
        <w:t>2.4.3 进度付款申请单的提交</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（1）单价合同进度付款申请单提交的约定：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（2）总价合同进度付款申请单提交的约定：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（3）其他价格形式合同进度付款申请单提交的约定：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12.4.4 进度款审核和支付</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（1）监理人审查并报送发包人的期限：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lang w:val="en-US" w:eastAsia="zh-CN"/>
        </w:rPr>
        <w:t xml:space="preserve">收到申请单及相关资料后7天内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发包人完成审批并签发进度款支付证书的期限：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sz w:val="21"/>
          <w:szCs w:val="21"/>
          <w:highlight w:val="none"/>
          <w:u w:val="single"/>
          <w:lang w:val="en-US" w:eastAsia="zh-CN"/>
        </w:rPr>
        <w:t>收到监理人审查资料后7天内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（2）发包人支付进度款的期限：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发包人逾期支付进度款的违约金的计算方式：</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12.4.6 支付分解表的编制</w:t>
      </w:r>
    </w:p>
    <w:p>
      <w:pPr>
        <w:pageBreakBefore w:val="0"/>
        <w:kinsoku/>
        <w:wordWrap/>
        <w:overflowPunct/>
        <w:topLinePunct w:val="0"/>
        <w:autoSpaceDE/>
        <w:autoSpaceDN/>
        <w:bidi w:val="0"/>
        <w:adjustRightInd/>
        <w:spacing w:line="440" w:lineRule="exact"/>
        <w:ind w:left="4260" w:leftChars="200" w:hanging="3780" w:hangingChars="18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2、总价合同支付分解表的编制与审批：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3、单价合同的总价项目支付分解表的编制与审批：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455"/>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626" w:name="_Toc351203645"/>
      <w:bookmarkStart w:id="627" w:name="_Toc292559424"/>
      <w:bookmarkStart w:id="628" w:name="_Toc297123564"/>
      <w:bookmarkStart w:id="629" w:name="_Toc296891047"/>
      <w:bookmarkStart w:id="630" w:name="_Toc296346720"/>
      <w:bookmarkStart w:id="631" w:name="_Toc303539172"/>
      <w:bookmarkStart w:id="632" w:name="_Toc296503219"/>
      <w:bookmarkStart w:id="633" w:name="_Toc297048405"/>
      <w:bookmarkStart w:id="634" w:name="_Toc297120519"/>
      <w:bookmarkStart w:id="635" w:name="_Toc304295593"/>
      <w:bookmarkStart w:id="636" w:name="_Toc292559929"/>
      <w:bookmarkStart w:id="637" w:name="_Toc296891259"/>
      <w:bookmarkStart w:id="638" w:name="_Toc312678053"/>
      <w:bookmarkStart w:id="639" w:name="_Toc296944558"/>
      <w:bookmarkStart w:id="640" w:name="_Toc300935015"/>
      <w:bookmarkStart w:id="641" w:name="_Toc297216223"/>
      <w:bookmarkStart w:id="642" w:name="_Toc296347218"/>
      <w:r>
        <w:rPr>
          <w:rFonts w:hint="eastAsia" w:ascii="宋体" w:hAnsi="宋体" w:eastAsia="宋体" w:cs="宋体"/>
          <w:bCs/>
          <w:i w:val="0"/>
          <w:iCs w:val="0"/>
          <w:color w:val="auto"/>
          <w:kern w:val="2"/>
          <w:sz w:val="21"/>
          <w:szCs w:val="21"/>
          <w:highlight w:val="none"/>
        </w:rPr>
        <w:t>13. 验收和工程试车</w:t>
      </w:r>
      <w:bookmarkEnd w:id="626"/>
    </w:p>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13.1 分部分项工程验收</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13.1.2监理人不能按时进行验收时，应提前</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24</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小时提交书面延期要求。</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关于延期最长不得超过：</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48</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小时。</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bookmarkStart w:id="643" w:name="_Toc292559933"/>
      <w:bookmarkStart w:id="644" w:name="_Toc296347222"/>
      <w:bookmarkStart w:id="645" w:name="_Toc303539173"/>
      <w:bookmarkStart w:id="646" w:name="_Toc296891051"/>
      <w:bookmarkStart w:id="647" w:name="_Toc297216224"/>
      <w:bookmarkStart w:id="648" w:name="_Toc292559428"/>
      <w:bookmarkStart w:id="649" w:name="_Toc296891263"/>
      <w:bookmarkStart w:id="650" w:name="_Toc297048409"/>
      <w:bookmarkStart w:id="651" w:name="_Toc304295596"/>
      <w:bookmarkStart w:id="652" w:name="_Toc296944562"/>
      <w:bookmarkStart w:id="653" w:name="_Toc312678056"/>
      <w:bookmarkStart w:id="654" w:name="_Toc296503223"/>
      <w:bookmarkStart w:id="655" w:name="_Toc296346724"/>
      <w:bookmarkStart w:id="656" w:name="_Toc297120523"/>
      <w:bookmarkStart w:id="657" w:name="_Toc300935016"/>
      <w:bookmarkStart w:id="658" w:name="_Toc297123565"/>
      <w:bookmarkStart w:id="659" w:name="_Toc267251476"/>
      <w:bookmarkStart w:id="660" w:name="_Toc267251474"/>
      <w:bookmarkStart w:id="661" w:name="_Toc267251472"/>
      <w:bookmarkStart w:id="662" w:name="_Toc267251475"/>
      <w:bookmarkStart w:id="663" w:name="_Toc267251470"/>
      <w:bookmarkStart w:id="664" w:name="_Toc267251471"/>
      <w:bookmarkStart w:id="665" w:name="_Toc267251473"/>
      <w:r>
        <w:rPr>
          <w:rFonts w:hint="eastAsia" w:ascii="宋体" w:hAnsi="宋体" w:eastAsia="宋体" w:cs="宋体"/>
          <w:i w:val="0"/>
          <w:iCs w:val="0"/>
          <w:color w:val="auto"/>
          <w:kern w:val="2"/>
          <w:sz w:val="21"/>
          <w:szCs w:val="21"/>
          <w:highlight w:val="none"/>
        </w:rPr>
        <w:t>13.2 竣工验收</w:t>
      </w:r>
    </w:p>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bookmarkStart w:id="666" w:name="_Toc280868704"/>
      <w:bookmarkStart w:id="667" w:name="_Toc280868705"/>
      <w:bookmarkStart w:id="668" w:name="_Toc280868706"/>
      <w:bookmarkStart w:id="669" w:name="_Toc280868707"/>
      <w:bookmarkStart w:id="670" w:name="_Toc280868708"/>
      <w:bookmarkStart w:id="671" w:name="_Toc280868709"/>
      <w:r>
        <w:rPr>
          <w:rFonts w:hint="eastAsia" w:ascii="宋体" w:hAnsi="宋体" w:eastAsia="宋体" w:cs="宋体"/>
          <w:i w:val="0"/>
          <w:iCs w:val="0"/>
          <w:color w:val="auto"/>
          <w:kern w:val="2"/>
          <w:sz w:val="21"/>
          <w:szCs w:val="21"/>
          <w:highlight w:val="none"/>
        </w:rPr>
        <w:t>13.2.2竣工验收程序</w:t>
      </w:r>
    </w:p>
    <w:bookmarkEnd w:id="666"/>
    <w:p>
      <w:pPr>
        <w:pageBreakBefore w:val="0"/>
        <w:kinsoku/>
        <w:wordWrap/>
        <w:overflowPunct/>
        <w:topLinePunct w:val="0"/>
        <w:autoSpaceDE/>
        <w:autoSpaceDN/>
        <w:bidi w:val="0"/>
        <w:adjustRightInd/>
        <w:spacing w:line="440" w:lineRule="exact"/>
        <w:rPr>
          <w:rFonts w:hint="eastAsia" w:ascii="宋体" w:hAnsi="宋体" w:eastAsia="宋体" w:cs="宋体"/>
          <w:b/>
          <w:bCs w:val="0"/>
          <w:i w:val="0"/>
          <w:iCs w:val="0"/>
          <w:color w:val="auto"/>
          <w:kern w:val="0"/>
          <w:sz w:val="21"/>
          <w:szCs w:val="21"/>
          <w:highlight w:val="none"/>
          <w:u w:val="single"/>
          <w:lang w:val="en-US" w:eastAsia="zh-CN" w:bidi="ar-SA"/>
        </w:rPr>
      </w:pPr>
      <w:r>
        <w:rPr>
          <w:rFonts w:hint="eastAsia" w:ascii="宋体" w:hAnsi="宋体" w:eastAsia="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rPr>
        <w:t>关于竣工验收程序的约定：</w:t>
      </w:r>
      <w:r>
        <w:rPr>
          <w:rFonts w:hint="eastAsia" w:ascii="宋体" w:hAnsi="宋体" w:eastAsia="宋体" w:cs="宋体"/>
          <w:b/>
          <w:bCs w:val="0"/>
          <w:i w:val="0"/>
          <w:iCs w:val="0"/>
          <w:color w:val="auto"/>
          <w:kern w:val="0"/>
          <w:sz w:val="21"/>
          <w:szCs w:val="21"/>
          <w:highlight w:val="none"/>
          <w:u w:val="single"/>
          <w:lang w:val="en-US" w:eastAsia="zh-CN" w:bidi="ar-SA"/>
        </w:rPr>
        <w:t>1、竣工验收前十天承包方向发包方提供盖有竣工章的完整竣工图、竣工资料及竣工验收报告一式伍份，并附光盘。发包人收到承包人提交的竣工验收报告及竣工验收资料后，认为工程尚不具备竣工验收条件或承包人提交竣工验收资料不完整的，有权不组织竣工验收，直至工程符合工程竣工验收条件或竣工验收资料完整。2、若工程验收时，竣工验收资料尚不完整，或不完全符合主管部门要求的，工程竣工验收通过后，承包人仍应按要求提交完整的符合要求的竣工资料。承包人应在发包人指定的时间内向发包人提供符合存档备案要求的竣工图、竣工资料及竣工验收报告等，并积极配合发包人将该些资料存档备案。</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sz w:val="21"/>
          <w:szCs w:val="21"/>
          <w:highlight w:val="none"/>
        </w:rPr>
        <w:t>发包人不按照本项约定组织竣工验收、颁发工程接收证书的违约金的计算方法：</w:t>
      </w:r>
      <w:r>
        <w:rPr>
          <w:rFonts w:hint="eastAsia" w:ascii="宋体" w:hAnsi="宋体" w:eastAsia="宋体" w:cs="宋体"/>
          <w:i w:val="0"/>
          <w:iCs w:val="0"/>
          <w:color w:val="auto"/>
          <w:kern w:val="2"/>
          <w:sz w:val="21"/>
          <w:szCs w:val="21"/>
          <w:highlight w:val="none"/>
          <w:u w:val="single"/>
        </w:rPr>
        <w:t xml:space="preserve">                                         </w:t>
      </w:r>
    </w:p>
    <w:p>
      <w:pPr>
        <w:pageBreakBefore w:val="0"/>
        <w:kinsoku/>
        <w:wordWrap/>
        <w:overflowPunct/>
        <w:topLinePunct w:val="0"/>
        <w:autoSpaceDE/>
        <w:autoSpaceDN/>
        <w:bidi w:val="0"/>
        <w:adjustRightInd/>
        <w:spacing w:line="440" w:lineRule="exact"/>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667"/>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13.2.5移交、接收全部与部分工程</w:t>
      </w:r>
    </w:p>
    <w:bookmarkEnd w:id="668"/>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承包人向发包人移交工程的期限：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val="0"/>
          <w:i w:val="0"/>
          <w:iCs w:val="0"/>
          <w:color w:val="auto"/>
          <w:kern w:val="0"/>
          <w:sz w:val="21"/>
          <w:szCs w:val="21"/>
          <w:highlight w:val="none"/>
          <w:u w:val="single"/>
          <w:lang w:val="en-US" w:eastAsia="zh-CN" w:bidi="ar-SA"/>
        </w:rPr>
        <w:t xml:space="preserve">在颁发工程接收证书后7天内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sz w:val="21"/>
          <w:szCs w:val="21"/>
          <w:highlight w:val="none"/>
        </w:rPr>
        <w:t>发包人未按本合同约定接收全部或部分工程的，违约金的计算方法为：</w:t>
      </w:r>
      <w:r>
        <w:rPr>
          <w:rFonts w:hint="eastAsia" w:ascii="宋体" w:hAnsi="宋体" w:eastAsia="宋体" w:cs="宋体"/>
          <w:i w:val="0"/>
          <w:iCs w:val="0"/>
          <w:color w:val="auto"/>
          <w:kern w:val="2"/>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669"/>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承包人未按时移交工程的，违约金的计算方法为：</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13.3 工程试车</w:t>
      </w:r>
    </w:p>
    <w:bookmarkEnd w:id="670"/>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13.3.1 试车程序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工程试车内容：</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（1）单机无负荷试车费用由</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val="0"/>
          <w:i w:val="0"/>
          <w:iCs w:val="0"/>
          <w:color w:val="auto"/>
          <w:kern w:val="0"/>
          <w:sz w:val="21"/>
          <w:szCs w:val="21"/>
          <w:highlight w:val="none"/>
          <w:u w:val="single"/>
          <w:lang w:val="en-US" w:eastAsia="zh-CN" w:bidi="ar-SA"/>
        </w:rPr>
        <w:t>承包人</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承担；</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（2）无负荷联动试车费用由</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承担。</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13.3.3 投料试车</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关于投料试车相关事项的约定：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13.6 竣工退场</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13.6.1 竣工退场</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承包人完成竣工退场的期限：</w:t>
      </w:r>
      <w:r>
        <w:rPr>
          <w:rFonts w:hint="eastAsia" w:ascii="宋体" w:hAnsi="宋体" w:eastAsia="宋体" w:cs="宋体"/>
          <w:b/>
          <w:bCs w:val="0"/>
          <w:i w:val="0"/>
          <w:iCs w:val="0"/>
          <w:color w:val="auto"/>
          <w:kern w:val="0"/>
          <w:sz w:val="21"/>
          <w:szCs w:val="21"/>
          <w:highlight w:val="none"/>
          <w:u w:val="single"/>
          <w:lang w:val="en-US" w:eastAsia="zh-CN" w:bidi="ar-SA"/>
        </w:rPr>
        <w:t xml:space="preserve"> 竣工验收通过14天内</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rPr>
        <w:t>。</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672" w:name="_Toc351203646"/>
      <w:r>
        <w:rPr>
          <w:rFonts w:hint="eastAsia" w:ascii="宋体" w:hAnsi="宋体" w:eastAsia="宋体" w:cs="宋体"/>
          <w:bCs/>
          <w:i w:val="0"/>
          <w:iCs w:val="0"/>
          <w:color w:val="auto"/>
          <w:kern w:val="2"/>
          <w:sz w:val="21"/>
          <w:szCs w:val="21"/>
          <w:highlight w:val="none"/>
        </w:rPr>
        <w:t>14. 竣工结算</w:t>
      </w:r>
      <w:bookmarkEnd w:id="672"/>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14.1 竣工结算申请</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承包人提交竣工结算申请单的期限：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竣工验收合格后，竣工结算经审核并定案后28天内</w:t>
      </w:r>
      <w:r>
        <w:rPr>
          <w:rFonts w:hint="eastAsia" w:ascii="宋体" w:hAnsi="宋体" w:eastAsia="宋体" w:cs="宋体"/>
          <w:b/>
          <w:i w:val="0"/>
          <w:iCs w:val="0"/>
          <w:color w:val="auto"/>
          <w:sz w:val="21"/>
          <w:szCs w:val="21"/>
          <w:highlight w:val="none"/>
          <w:u w:val="single"/>
        </w:rPr>
        <w:t>。</w:t>
      </w:r>
    </w:p>
    <w:p>
      <w:pPr>
        <w:pageBreakBefore w:val="0"/>
        <w:kinsoku/>
        <w:wordWrap/>
        <w:overflowPunct/>
        <w:topLinePunct w:val="0"/>
        <w:autoSpaceDE/>
        <w:autoSpaceDN/>
        <w:bidi w:val="0"/>
        <w:adjustRightInd/>
        <w:spacing w:line="440" w:lineRule="exact"/>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竣工结算申请单应包括的内容：</w:t>
      </w:r>
      <w:r>
        <w:rPr>
          <w:rFonts w:hint="eastAsia" w:ascii="宋体" w:hAnsi="宋体" w:eastAsia="宋体" w:cs="宋体"/>
          <w:b/>
          <w:i w:val="0"/>
          <w:iCs w:val="0"/>
          <w:color w:val="auto"/>
          <w:sz w:val="21"/>
          <w:szCs w:val="21"/>
          <w:highlight w:val="none"/>
          <w:u w:val="single"/>
          <w:lang w:val="en-US" w:eastAsia="zh-CN"/>
        </w:rPr>
        <w:t>工程名称，竣工结算造价，已付工程款，应扣留的质量保证金，应付竣工工程款等</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14.2 竣工结算审核</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发包人审批竣工付款申请单的期限：</w:t>
      </w:r>
      <w:r>
        <w:rPr>
          <w:rFonts w:hint="eastAsia" w:ascii="宋体" w:hAnsi="宋体" w:eastAsia="宋体" w:cs="宋体"/>
          <w:b/>
          <w:i w:val="0"/>
          <w:iCs w:val="0"/>
          <w:color w:val="auto"/>
          <w:sz w:val="21"/>
          <w:szCs w:val="21"/>
          <w:highlight w:val="none"/>
          <w:u w:val="single"/>
          <w:lang w:val="en-US" w:eastAsia="zh-CN"/>
        </w:rPr>
        <w:t>收到申请单后14天内</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发包人完成竣工付款的期限：</w:t>
      </w:r>
      <w:r>
        <w:rPr>
          <w:rFonts w:hint="eastAsia" w:ascii="宋体" w:hAnsi="宋体" w:eastAsia="宋体" w:cs="宋体"/>
          <w:i w:val="0"/>
          <w:iCs w:val="0"/>
          <w:color w:val="auto"/>
          <w:kern w:val="2"/>
          <w:sz w:val="21"/>
          <w:szCs w:val="21"/>
          <w:highlight w:val="none"/>
          <w:u w:val="single"/>
        </w:rPr>
        <w:t xml:space="preserve">            /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关于竣工付款证书异议部分复核的方式和程序：</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14.4 最终结清</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14.4.1 最终结清申请单</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承包人提交最终结清申请单的份数：</w:t>
      </w:r>
      <w:r>
        <w:rPr>
          <w:rFonts w:hint="eastAsia" w:ascii="宋体" w:hAnsi="宋体" w:eastAsia="宋体" w:cs="宋体"/>
          <w:b/>
          <w:i w:val="0"/>
          <w:iCs w:val="0"/>
          <w:color w:val="auto"/>
          <w:sz w:val="21"/>
          <w:szCs w:val="21"/>
          <w:highlight w:val="none"/>
          <w:u w:val="single"/>
          <w:lang w:val="en-US" w:eastAsia="zh-CN"/>
        </w:rPr>
        <w:t xml:space="preserve"> 一式四份</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承包人提交最终结算申请单的期限：</w:t>
      </w:r>
      <w:r>
        <w:rPr>
          <w:rFonts w:hint="eastAsia" w:ascii="宋体" w:hAnsi="宋体" w:eastAsia="宋体" w:cs="宋体"/>
          <w:b/>
          <w:bCs/>
          <w:i w:val="0"/>
          <w:iCs w:val="0"/>
          <w:color w:val="auto"/>
          <w:sz w:val="21"/>
          <w:szCs w:val="21"/>
          <w:highlight w:val="none"/>
          <w:u w:val="single"/>
        </w:rPr>
        <w:t>本工程经验收达到合同约定条件后，承包人应在28日内提供完整工程结算资料。发包人收到承包人递交的竣工结算报告及完整的结算资料后，发包人在28天内送甲方委托的造价咨询单位进行审计，承包方提交的工程结算金额与甲方委托的造价咨询单位审定的结算金额差距超过5%的，超过部分的核减审计费用由承包人支付，核增部分审计费也由承包人支付</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 xml:space="preserve">。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14.4.2 最终结清证书和支付</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（1）发包人完成最终结清申请单的审批并颁发最终结清证书的期限：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（2）发包人完成支付的期限：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659"/>
    <w:bookmarkEnd w:id="660"/>
    <w:bookmarkEnd w:id="661"/>
    <w:bookmarkEnd w:id="662"/>
    <w:bookmarkEnd w:id="663"/>
    <w:bookmarkEnd w:id="664"/>
    <w:bookmarkEnd w:id="665"/>
    <w:bookmarkEnd w:id="671"/>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673" w:name="_Toc351203647"/>
      <w:bookmarkStart w:id="674" w:name="_Toc267251483"/>
      <w:bookmarkStart w:id="675" w:name="_Toc267251482"/>
      <w:bookmarkStart w:id="676" w:name="_Toc267251484"/>
      <w:bookmarkStart w:id="677" w:name="_Toc267251485"/>
      <w:bookmarkStart w:id="678" w:name="_Toc267251486"/>
      <w:bookmarkStart w:id="679" w:name="_Toc267251489"/>
      <w:bookmarkStart w:id="680" w:name="_Toc267251490"/>
      <w:bookmarkStart w:id="681" w:name="_Toc267251488"/>
      <w:bookmarkStart w:id="682" w:name="_Toc267251494"/>
      <w:bookmarkStart w:id="683" w:name="_Toc267251501"/>
      <w:bookmarkStart w:id="684" w:name="_Toc267251493"/>
      <w:bookmarkStart w:id="685" w:name="_Toc267251497"/>
      <w:bookmarkStart w:id="686" w:name="_Toc267251503"/>
      <w:bookmarkStart w:id="687" w:name="_Toc267251495"/>
      <w:bookmarkStart w:id="688" w:name="_Toc267251496"/>
      <w:bookmarkStart w:id="689" w:name="_Toc267251502"/>
      <w:bookmarkStart w:id="690" w:name="_Toc267251498"/>
      <w:bookmarkStart w:id="691" w:name="_Toc267251491"/>
      <w:bookmarkStart w:id="692" w:name="_Toc267251492"/>
      <w:bookmarkStart w:id="693" w:name="_Toc267251499"/>
      <w:bookmarkStart w:id="694" w:name="_Toc267251504"/>
      <w:bookmarkStart w:id="695" w:name="_Toc267251506"/>
      <w:bookmarkStart w:id="696" w:name="_Toc267251507"/>
      <w:bookmarkStart w:id="697" w:name="_Toc267251508"/>
      <w:bookmarkStart w:id="698" w:name="_Toc267251515"/>
      <w:bookmarkStart w:id="699" w:name="_Toc267251510"/>
      <w:bookmarkStart w:id="700" w:name="_Toc267251513"/>
      <w:bookmarkStart w:id="701" w:name="_Toc267251514"/>
      <w:bookmarkStart w:id="702" w:name="_Toc267251511"/>
      <w:bookmarkStart w:id="703" w:name="_Toc267251509"/>
      <w:r>
        <w:rPr>
          <w:rFonts w:hint="eastAsia" w:ascii="宋体" w:hAnsi="宋体" w:eastAsia="宋体" w:cs="宋体"/>
          <w:bCs/>
          <w:i w:val="0"/>
          <w:iCs w:val="0"/>
          <w:color w:val="auto"/>
          <w:kern w:val="2"/>
          <w:sz w:val="21"/>
          <w:szCs w:val="21"/>
          <w:highlight w:val="none"/>
        </w:rPr>
        <w:t>15. 缺陷责任期与保修</w:t>
      </w:r>
      <w:bookmarkEnd w:id="673"/>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15.2缺陷责任期</w:t>
      </w:r>
      <w:bookmarkEnd w:id="674"/>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缺陷责任期的具体期限：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按工程质量保修书</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15.3 质量保证金</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关于是否扣留质量保证金的约定：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 xml:space="preserve"> 是</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15.3.1 承包人提供质量保证金的方式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质量保证金采用以下第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lang w:val="en-US" w:eastAsia="zh-CN"/>
        </w:rPr>
        <w:t>2</w:t>
      </w:r>
      <w:r>
        <w:rPr>
          <w:rFonts w:hint="eastAsia" w:ascii="宋体" w:hAnsi="宋体" w:eastAsia="宋体" w:cs="宋体"/>
          <w:b/>
          <w:bCs/>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种方式：</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（1）质量保证金保函，保证金额为：</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sz w:val="21"/>
          <w:szCs w:val="21"/>
          <w:highlight w:val="none"/>
        </w:rPr>
        <w:t xml:space="preserve">； </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结算审定价的1.5</w:t>
      </w:r>
      <w:r>
        <w:rPr>
          <w:rFonts w:hint="eastAsia" w:ascii="宋体" w:hAnsi="宋体" w:eastAsia="宋体" w:cs="宋体"/>
          <w:i w:val="0"/>
          <w:iCs w:val="0"/>
          <w:color w:val="auto"/>
          <w:sz w:val="21"/>
          <w:szCs w:val="21"/>
          <w:highlight w:val="none"/>
        </w:rPr>
        <w:t>%的工程款；</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（3）其他方式:</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 xml:space="preserve">15.3.2 质量保证金的扣留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质量保证金的扣留采取以下第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rPr>
        <w:t xml:space="preserve"> 2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种方式：</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（1）在支付工程进度款时逐次扣留，在此情形下，质量保证金的计算基数不包括预付款的支付、扣回以及价格调整的金额；</w:t>
      </w:r>
    </w:p>
    <w:p>
      <w:pPr>
        <w:pageBreakBefore w:val="0"/>
        <w:kinsoku/>
        <w:wordWrap/>
        <w:overflowPunct/>
        <w:topLinePunct w:val="0"/>
        <w:bidi w:val="0"/>
        <w:spacing w:line="440" w:lineRule="exact"/>
        <w:ind w:firstLine="420" w:firstLineChars="200"/>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（2）工程竣工结算时一次性扣留质量保证金；</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（3）其他扣留方式:</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关于质量保证金的补充约定：</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 xml:space="preserve">按合同约定，不计息，多退少补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bookmarkEnd w:id="675"/>
    <w:bookmarkEnd w:id="676"/>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15.4保修</w:t>
      </w:r>
    </w:p>
    <w:bookmarkEnd w:id="677"/>
    <w:p>
      <w:pPr>
        <w:pageBreakBefore w:val="0"/>
        <w:kinsoku/>
        <w:wordWrap/>
        <w:overflowPunct/>
        <w:topLinePunct w:val="0"/>
        <w:autoSpaceDE/>
        <w:autoSpaceDN/>
        <w:bidi w:val="0"/>
        <w:adjustRightInd/>
        <w:spacing w:line="440" w:lineRule="exact"/>
        <w:ind w:firstLine="409" w:firstLineChars="195"/>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15.4.1 保修责任</w:t>
      </w:r>
    </w:p>
    <w:p>
      <w:pPr>
        <w:pageBreakBefore w:val="0"/>
        <w:kinsoku/>
        <w:wordWrap/>
        <w:overflowPunct/>
        <w:topLinePunct w:val="0"/>
        <w:bidi w:val="0"/>
        <w:spacing w:line="440" w:lineRule="exact"/>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工程保修期为：</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rPr>
        <w:t>按国务院的《</w:t>
      </w:r>
      <w:r>
        <w:rPr>
          <w:rFonts w:hint="eastAsia" w:ascii="宋体" w:hAnsi="宋体" w:cs="宋体"/>
          <w:b/>
          <w:i w:val="0"/>
          <w:iCs w:val="0"/>
          <w:color w:val="auto"/>
          <w:sz w:val="21"/>
          <w:szCs w:val="21"/>
          <w:highlight w:val="none"/>
          <w:u w:val="single"/>
          <w:lang w:eastAsia="zh-CN"/>
        </w:rPr>
        <w:t>建设工程质量管理条例</w:t>
      </w:r>
      <w:r>
        <w:rPr>
          <w:rFonts w:hint="eastAsia" w:ascii="宋体" w:hAnsi="宋体" w:eastAsia="宋体" w:cs="宋体"/>
          <w:b/>
          <w:i w:val="0"/>
          <w:iCs w:val="0"/>
          <w:color w:val="auto"/>
          <w:sz w:val="21"/>
          <w:szCs w:val="21"/>
          <w:highlight w:val="none"/>
          <w:u w:val="single"/>
        </w:rPr>
        <w:t>》 相关规定执行</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bidi w:val="0"/>
        <w:spacing w:line="440" w:lineRule="exact"/>
        <w:ind w:firstLine="422" w:firstLineChars="200"/>
        <w:jc w:val="left"/>
        <w:rPr>
          <w:rFonts w:hint="eastAsia" w:ascii="宋体" w:hAnsi="宋体" w:eastAsia="宋体" w:cs="宋体"/>
          <w:b/>
          <w:iCs/>
          <w:color w:val="auto"/>
          <w:sz w:val="21"/>
          <w:szCs w:val="21"/>
          <w:highlight w:val="none"/>
        </w:rPr>
      </w:pPr>
      <w:r>
        <w:rPr>
          <w:rFonts w:hint="eastAsia" w:ascii="宋体" w:hAnsi="宋体" w:eastAsia="宋体" w:cs="宋体"/>
          <w:b/>
          <w:iCs/>
          <w:color w:val="auto"/>
          <w:sz w:val="21"/>
          <w:szCs w:val="21"/>
          <w:highlight w:val="none"/>
        </w:rPr>
        <w:t>绿化养护期：</w:t>
      </w:r>
      <w:r>
        <w:rPr>
          <w:rFonts w:hint="eastAsia" w:ascii="宋体" w:hAnsi="宋体" w:eastAsia="宋体" w:cs="宋体"/>
          <w:b/>
          <w:iCs/>
          <w:color w:val="auto"/>
          <w:sz w:val="21"/>
          <w:szCs w:val="21"/>
          <w:highlight w:val="none"/>
          <w:u w:val="single"/>
        </w:rPr>
        <w:t>2年</w:t>
      </w:r>
      <w:r>
        <w:rPr>
          <w:rFonts w:hint="eastAsia" w:ascii="宋体" w:hAnsi="宋体" w:eastAsia="宋体" w:cs="宋体"/>
          <w:b/>
          <w:iCs/>
          <w:color w:val="auto"/>
          <w:sz w:val="21"/>
          <w:szCs w:val="21"/>
          <w:highlight w:val="none"/>
        </w:rPr>
        <w:t>。</w:t>
      </w:r>
    </w:p>
    <w:p>
      <w:pPr>
        <w:pageBreakBefore w:val="0"/>
        <w:kinsoku/>
        <w:wordWrap/>
        <w:overflowPunct/>
        <w:topLinePunct w:val="0"/>
        <w:bidi w:val="0"/>
        <w:spacing w:line="440" w:lineRule="exact"/>
        <w:ind w:firstLine="422" w:firstLineChars="200"/>
        <w:jc w:val="left"/>
        <w:rPr>
          <w:rFonts w:hint="eastAsia" w:ascii="宋体" w:hAnsi="宋体" w:eastAsia="宋体" w:cs="宋体"/>
          <w:b/>
          <w:iCs/>
          <w:color w:val="auto"/>
          <w:sz w:val="21"/>
          <w:szCs w:val="21"/>
          <w:highlight w:val="none"/>
          <w:u w:val="single"/>
        </w:rPr>
      </w:pPr>
      <w:r>
        <w:rPr>
          <w:rFonts w:hint="eastAsia" w:ascii="宋体" w:hAnsi="宋体" w:eastAsia="宋体" w:cs="宋体"/>
          <w:b/>
          <w:iCs/>
          <w:color w:val="auto"/>
          <w:sz w:val="21"/>
          <w:szCs w:val="21"/>
          <w:highlight w:val="none"/>
          <w:u w:val="single"/>
        </w:rPr>
        <w:t>对绿化养护内容补充如下：1、养护期内施肥、修剪、浇水等主要程序必不可少，绿化存活率100%；2、养护期内绿化发生枯死的及时补种，补种苗木规格不得小于原来苗木规格，补种苗木不再</w:t>
      </w:r>
      <w:r>
        <w:rPr>
          <w:rFonts w:hint="eastAsia" w:ascii="宋体" w:hAnsi="宋体" w:eastAsia="宋体" w:cs="宋体"/>
          <w:b/>
          <w:iCs/>
          <w:color w:val="auto"/>
          <w:sz w:val="21"/>
          <w:szCs w:val="21"/>
          <w:highlight w:val="none"/>
          <w:u w:val="single"/>
          <w:lang w:eastAsia="zh-CN"/>
        </w:rPr>
        <w:t>计取</w:t>
      </w:r>
      <w:r>
        <w:rPr>
          <w:rFonts w:hint="eastAsia" w:ascii="宋体" w:hAnsi="宋体" w:eastAsia="宋体" w:cs="宋体"/>
          <w:b/>
          <w:iCs/>
          <w:color w:val="auto"/>
          <w:sz w:val="21"/>
          <w:szCs w:val="21"/>
          <w:highlight w:val="none"/>
          <w:u w:val="single"/>
        </w:rPr>
        <w:t>费用补偿。</w:t>
      </w:r>
    </w:p>
    <w:p>
      <w:pPr>
        <w:pageBreakBefore w:val="0"/>
        <w:kinsoku/>
        <w:wordWrap/>
        <w:overflowPunct/>
        <w:topLinePunct w:val="0"/>
        <w:autoSpaceDE/>
        <w:autoSpaceDN/>
        <w:bidi w:val="0"/>
        <w:adjustRightInd/>
        <w:spacing w:line="440" w:lineRule="exact"/>
        <w:ind w:firstLine="409" w:firstLineChars="195"/>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15.4.3 修复通知</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承包人收到保修通知并到达工程现场的合理时间：</w:t>
      </w:r>
      <w:r>
        <w:rPr>
          <w:rFonts w:hint="eastAsia" w:ascii="宋体" w:hAnsi="宋体" w:eastAsia="宋体" w:cs="宋体"/>
          <w:b/>
          <w:i w:val="0"/>
          <w:iCs w:val="0"/>
          <w:color w:val="auto"/>
          <w:sz w:val="21"/>
          <w:szCs w:val="21"/>
          <w:highlight w:val="none"/>
          <w:u w:val="single"/>
          <w:lang w:val="en-US" w:eastAsia="zh-CN"/>
        </w:rPr>
        <w:t>1、属于保修范围内容的项目，承包人应当在接到保修通知之日起 2 天内派人保修。2、发生紧急事故需抢修的，承包人在接到事故通知后，应当立即到达事故现场抢修。3、承包人不在约定期限内派人保修的，发包人可以委托他人修理，由此所发生的费用，在承包人的保修金中扣除</w:t>
      </w:r>
      <w:r>
        <w:rPr>
          <w:rFonts w:hint="eastAsia" w:ascii="宋体" w:hAnsi="宋体" w:eastAsia="宋体" w:cs="宋体"/>
          <w:i w:val="0"/>
          <w:iCs w:val="0"/>
          <w:color w:val="auto"/>
          <w:sz w:val="21"/>
          <w:szCs w:val="21"/>
          <w:highlight w:val="none"/>
        </w:rPr>
        <w:t>。</w:t>
      </w:r>
    </w:p>
    <w:bookmarkEnd w:id="678"/>
    <w:bookmarkEnd w:id="679"/>
    <w:bookmarkEnd w:id="680"/>
    <w:bookmarkEnd w:id="681"/>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704" w:name="_Toc351203648"/>
      <w:bookmarkStart w:id="705" w:name="_Toc280868717"/>
      <w:bookmarkStart w:id="706" w:name="_Toc280868718"/>
      <w:r>
        <w:rPr>
          <w:rFonts w:hint="eastAsia" w:ascii="宋体" w:hAnsi="宋体" w:eastAsia="宋体" w:cs="宋体"/>
          <w:bCs/>
          <w:i w:val="0"/>
          <w:iCs w:val="0"/>
          <w:color w:val="auto"/>
          <w:kern w:val="2"/>
          <w:sz w:val="21"/>
          <w:szCs w:val="21"/>
          <w:highlight w:val="none"/>
        </w:rPr>
        <w:t>16. 违约</w:t>
      </w:r>
      <w:bookmarkEnd w:id="704"/>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16.1 发包人违约</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16.1.1发包人违约的情形</w:t>
      </w:r>
    </w:p>
    <w:p>
      <w:pPr>
        <w:pageBreakBefore w:val="0"/>
        <w:kinsoku/>
        <w:wordWrap/>
        <w:overflowPunct/>
        <w:topLinePunct w:val="0"/>
        <w:autoSpaceDE/>
        <w:autoSpaceDN/>
        <w:bidi w:val="0"/>
        <w:adjustRightInd/>
        <w:spacing w:line="440" w:lineRule="exact"/>
        <w:ind w:left="1110" w:leftChars="200" w:hanging="630" w:hangingChars="3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发包人违约的其他情形：</w:t>
      </w:r>
      <w:r>
        <w:rPr>
          <w:rFonts w:hint="eastAsia" w:ascii="宋体" w:hAnsi="宋体" w:eastAsia="宋体" w:cs="宋体"/>
          <w:b/>
          <w:i w:val="0"/>
          <w:iCs w:val="0"/>
          <w:color w:val="auto"/>
          <w:sz w:val="21"/>
          <w:szCs w:val="21"/>
          <w:highlight w:val="none"/>
          <w:u w:val="single"/>
        </w:rPr>
        <w:t>按通用条款约定执行</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left="1200" w:hanging="1050" w:hangingChars="5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    16.1.2 发包人违约的责任</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发包人违约责任的承担方式和计算方法：</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（1）因发包人原因未能在计划开工日期前7天内下达开工通知的违约责任：</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（2）因发包人原因未能按合同约定支付合同价款的违约责任：</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（3）发包人违反第10.1款〔变更的范围〕第（2）项约定，自行实施被取消的工作或转由他人实施的违约责任：</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（4）发包人提供的材料、工程设备的规格、数量或质量不符合合同约定，或因发包人原因导致交货日期延误或交货地点变更等情况的违约责任：</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（5）因发包人违反合同约定造成暂停施工的违约责任：</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（6）发包人无正当理由没有在约定期限内发出复工指示，导致承包人无法复工的违约责任：</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（7）其他：</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16.1.3 因发包人违约解除合同</w:t>
      </w:r>
    </w:p>
    <w:p>
      <w:pPr>
        <w:pageBreakBefore w:val="0"/>
        <w:kinsoku/>
        <w:wordWrap/>
        <w:overflowPunct/>
        <w:topLinePunct w:val="0"/>
        <w:bidi w:val="0"/>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承包人按16.1.1项〔发包人违约的情形〕约定暂停施工满</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bCs/>
          <w:i w:val="0"/>
          <w:iCs w:val="0"/>
          <w:color w:val="auto"/>
          <w:sz w:val="21"/>
          <w:szCs w:val="21"/>
          <w:highlight w:val="none"/>
          <w:u w:val="single"/>
          <w:lang w:val="en-US" w:eastAsia="zh-CN"/>
        </w:rPr>
        <w:t>28</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天后发包人仍不纠正其违约行为并致使合同目的不能实现的，承包人有权解除合同。</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16.2 承包人违约</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16.2.1 承包人违约的情形</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承包人违约的其他情形：</w:t>
      </w:r>
      <w:r>
        <w:rPr>
          <w:rFonts w:hint="eastAsia" w:ascii="宋体" w:hAnsi="宋体" w:eastAsia="宋体" w:cs="宋体"/>
          <w:b/>
          <w:i w:val="0"/>
          <w:iCs w:val="0"/>
          <w:color w:val="auto"/>
          <w:sz w:val="21"/>
          <w:szCs w:val="21"/>
          <w:highlight w:val="none"/>
          <w:u w:val="single"/>
        </w:rPr>
        <w:t>按通用条款约定执行</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16.2.2承包人违约的责任</w:t>
      </w:r>
    </w:p>
    <w:p>
      <w:pPr>
        <w:pageBreakBefore w:val="0"/>
        <w:kinsoku/>
        <w:wordWrap/>
        <w:overflowPunct/>
        <w:topLinePunct w:val="0"/>
        <w:autoSpaceDE/>
        <w:autoSpaceDN/>
        <w:bidi w:val="0"/>
        <w:adjustRightInd/>
        <w:spacing w:line="440" w:lineRule="exact"/>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rPr>
        <w:t>承包人违约责任的承担方式和计算方法：</w:t>
      </w:r>
      <w:r>
        <w:rPr>
          <w:rFonts w:hint="eastAsia" w:ascii="宋体" w:hAnsi="宋体" w:eastAsia="宋体" w:cs="宋体"/>
          <w:b/>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因承包人原因造成工程质量不符合合同要求，由承包人无条件返工直至质量达到合同约定要求，工期不顺延，承包人同时应承担工期违约责任，经返工仍未能达到合同约定要求的，发包人有权选择解除合同，所产生的一切损失由承包人承担</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kern w:val="2"/>
          <w:sz w:val="21"/>
          <w:szCs w:val="21"/>
          <w:highlight w:val="none"/>
        </w:rPr>
        <w:t xml:space="preserve">    </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16.2.3 因承包人违约解除合同</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关于承包人违约解除合同的特别约定：</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发包人继续使用承包人在施工现场的材料、设备、临时工程、承包人文件和由承包人或以其名义编制的其他文件的费用承担方式：</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sz w:val="21"/>
          <w:szCs w:val="21"/>
          <w:highlight w:val="none"/>
        </w:rPr>
        <w:t>。</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707" w:name="_Toc351203649"/>
      <w:r>
        <w:rPr>
          <w:rFonts w:hint="eastAsia" w:ascii="宋体" w:hAnsi="宋体" w:eastAsia="宋体" w:cs="宋体"/>
          <w:bCs/>
          <w:i w:val="0"/>
          <w:iCs w:val="0"/>
          <w:color w:val="auto"/>
          <w:kern w:val="2"/>
          <w:sz w:val="21"/>
          <w:szCs w:val="21"/>
          <w:highlight w:val="none"/>
        </w:rPr>
        <w:t>17. 不可抗力</w:t>
      </w:r>
      <w:bookmarkEnd w:id="707"/>
      <w:r>
        <w:rPr>
          <w:rFonts w:hint="eastAsia" w:ascii="宋体" w:hAnsi="宋体" w:eastAsia="宋体" w:cs="宋体"/>
          <w:bCs/>
          <w:i w:val="0"/>
          <w:iCs w:val="0"/>
          <w:color w:val="auto"/>
          <w:kern w:val="2"/>
          <w:sz w:val="21"/>
          <w:szCs w:val="21"/>
          <w:highlight w:val="none"/>
        </w:rPr>
        <w:t xml:space="preserve"> </w:t>
      </w:r>
      <w:bookmarkEnd w:id="705"/>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17.1 不可抗力的确认</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2"/>
          <w:sz w:val="21"/>
          <w:szCs w:val="21"/>
          <w:highlight w:val="none"/>
        </w:rPr>
        <w:t xml:space="preserve">除通用合同条款约定的不可抗力事件之外，视为不可抗力的其他情形：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17.4 因不可抗力解除合同</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合同解除后，发包人应在商定或确定发包人应支付款项后</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bCs/>
          <w:i w:val="0"/>
          <w:iCs w:val="0"/>
          <w:color w:val="auto"/>
          <w:kern w:val="2"/>
          <w:sz w:val="21"/>
          <w:szCs w:val="21"/>
          <w:highlight w:val="none"/>
          <w:u w:val="single"/>
          <w:lang w:val="en-US" w:eastAsia="zh-CN"/>
        </w:rPr>
        <w:t>/</w:t>
      </w:r>
      <w:r>
        <w:rPr>
          <w:rFonts w:hint="eastAsia" w:ascii="宋体" w:hAnsi="宋体" w:eastAsia="宋体" w:cs="宋体"/>
          <w:i w:val="0"/>
          <w:iCs w:val="0"/>
          <w:color w:val="auto"/>
          <w:kern w:val="2"/>
          <w:sz w:val="21"/>
          <w:szCs w:val="21"/>
          <w:highlight w:val="none"/>
        </w:rPr>
        <w:t>天内完成款项的支付。</w:t>
      </w:r>
    </w:p>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708" w:name="_Toc351203650"/>
      <w:r>
        <w:rPr>
          <w:rFonts w:hint="eastAsia" w:ascii="宋体" w:hAnsi="宋体" w:eastAsia="宋体" w:cs="宋体"/>
          <w:bCs/>
          <w:i w:val="0"/>
          <w:iCs w:val="0"/>
          <w:color w:val="auto"/>
          <w:kern w:val="2"/>
          <w:sz w:val="21"/>
          <w:szCs w:val="21"/>
          <w:highlight w:val="none"/>
        </w:rPr>
        <w:t>18. 保险</w:t>
      </w:r>
      <w:bookmarkEnd w:id="708"/>
    </w:p>
    <w:bookmarkEnd w:id="706"/>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18.1 工程保险</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i w:val="0"/>
          <w:iCs w:val="0"/>
          <w:color w:val="auto"/>
          <w:sz w:val="21"/>
          <w:szCs w:val="21"/>
          <w:highlight w:val="none"/>
          <w:u w:val="single"/>
          <w:lang w:val="en-US"/>
        </w:rPr>
      </w:pPr>
      <w:r>
        <w:rPr>
          <w:rFonts w:hint="eastAsia" w:ascii="宋体" w:hAnsi="宋体" w:eastAsia="宋体" w:cs="宋体"/>
          <w:i w:val="0"/>
          <w:iCs w:val="0"/>
          <w:color w:val="auto"/>
          <w:kern w:val="2"/>
          <w:sz w:val="21"/>
          <w:szCs w:val="21"/>
          <w:highlight w:val="none"/>
        </w:rPr>
        <w:t>关于工程保险的特别约定：</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农民工工伤保险要求中标人在开工前完成向市地税部门申报缴纳，并向市社保局办理相关手续。</w:t>
      </w:r>
    </w:p>
    <w:p>
      <w:pPr>
        <w:pageBreakBefore w:val="0"/>
        <w:kinsoku/>
        <w:wordWrap/>
        <w:overflowPunct/>
        <w:topLinePunct w:val="0"/>
        <w:autoSpaceDE/>
        <w:autoSpaceDN/>
        <w:bidi w:val="0"/>
        <w:adjustRightInd/>
        <w:spacing w:line="440" w:lineRule="exact"/>
        <w:ind w:firstLine="422"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b/>
          <w:i w:val="0"/>
          <w:iCs w:val="0"/>
          <w:color w:val="auto"/>
          <w:sz w:val="21"/>
          <w:szCs w:val="21"/>
          <w:highlight w:val="none"/>
          <w:u w:val="single"/>
          <w:lang w:val="en-US" w:eastAsia="zh-CN"/>
        </w:rPr>
        <w:t>承包人应当为本合同工程和施工场地内的自有人员、设备及第三方生命财产办理保险并支付保险费用，费用已包含在合同总价内。因承包人未办理保险所造成发包人、监理人、其他承包人、第三方人员的损失，承包人承担赔偿责任</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18.3 其他保险</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关于其他保险的约定：</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b/>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2"/>
          <w:sz w:val="21"/>
          <w:szCs w:val="21"/>
          <w:highlight w:val="none"/>
        </w:rPr>
        <w:t>承包人是否应为其施工设备等办理财产保险：</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18.7 通知义务</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sz w:val="21"/>
          <w:szCs w:val="21"/>
          <w:highlight w:val="none"/>
        </w:rPr>
        <w:t>关于变更保险合同时的通知义务的约定：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bookmarkEnd w:id="682"/>
    <w:bookmarkEnd w:id="683"/>
    <w:bookmarkEnd w:id="684"/>
    <w:bookmarkEnd w:id="685"/>
    <w:bookmarkEnd w:id="686"/>
    <w:bookmarkEnd w:id="687"/>
    <w:bookmarkEnd w:id="688"/>
    <w:bookmarkEnd w:id="689"/>
    <w:bookmarkEnd w:id="690"/>
    <w:bookmarkEnd w:id="691"/>
    <w:bookmarkEnd w:id="692"/>
    <w:bookmarkEnd w:id="693"/>
    <w:p>
      <w:pPr>
        <w:keepNext/>
        <w:keepLines/>
        <w:pageBreakBefore w:val="0"/>
        <w:kinsoku/>
        <w:wordWrap/>
        <w:overflowPunct/>
        <w:topLinePunct w:val="0"/>
        <w:bidi w:val="0"/>
        <w:spacing w:line="440" w:lineRule="exact"/>
        <w:jc w:val="both"/>
        <w:outlineLvl w:val="3"/>
        <w:rPr>
          <w:rFonts w:hint="eastAsia" w:ascii="宋体" w:hAnsi="宋体" w:eastAsia="宋体" w:cs="宋体"/>
          <w:bCs/>
          <w:i w:val="0"/>
          <w:iCs w:val="0"/>
          <w:color w:val="auto"/>
          <w:kern w:val="2"/>
          <w:sz w:val="21"/>
          <w:szCs w:val="21"/>
          <w:highlight w:val="none"/>
        </w:rPr>
      </w:pPr>
      <w:bookmarkStart w:id="709" w:name="_Toc351203651"/>
      <w:r>
        <w:rPr>
          <w:rFonts w:hint="eastAsia" w:ascii="宋体" w:hAnsi="宋体" w:eastAsia="宋体" w:cs="宋体"/>
          <w:bCs/>
          <w:i w:val="0"/>
          <w:iCs w:val="0"/>
          <w:color w:val="auto"/>
          <w:kern w:val="2"/>
          <w:sz w:val="21"/>
          <w:szCs w:val="21"/>
          <w:highlight w:val="none"/>
        </w:rPr>
        <w:t>20. 争议解决</w:t>
      </w:r>
      <w:bookmarkEnd w:id="709"/>
    </w:p>
    <w:bookmarkEnd w:id="694"/>
    <w:bookmarkEnd w:id="695"/>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20.3 争</w:t>
      </w:r>
      <w:bookmarkEnd w:id="696"/>
      <w:r>
        <w:rPr>
          <w:rFonts w:hint="eastAsia" w:ascii="宋体" w:hAnsi="宋体" w:eastAsia="宋体" w:cs="宋体"/>
          <w:i w:val="0"/>
          <w:iCs w:val="0"/>
          <w:color w:val="auto"/>
          <w:kern w:val="2"/>
          <w:sz w:val="21"/>
          <w:szCs w:val="21"/>
          <w:highlight w:val="none"/>
        </w:rPr>
        <w:t>议评审</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合同当事人是否同意将工程争议提交争议评审小组决定：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 xml:space="preserve">。  </w:t>
      </w:r>
    </w:p>
    <w:p>
      <w:pPr>
        <w:pageBreakBefore w:val="0"/>
        <w:kinsoku/>
        <w:wordWrap/>
        <w:overflowPunct/>
        <w:topLinePunct w:val="0"/>
        <w:autoSpaceDE/>
        <w:autoSpaceDN/>
        <w:bidi w:val="0"/>
        <w:adjustRightInd/>
        <w:spacing w:line="440" w:lineRule="exact"/>
        <w:ind w:firstLine="420" w:firstLineChars="200"/>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20.3.1 争议评审小组的确定</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u w:val="single"/>
        </w:rPr>
      </w:pPr>
      <w:r>
        <w:rPr>
          <w:rFonts w:hint="eastAsia" w:ascii="宋体" w:hAnsi="宋体" w:eastAsia="宋体" w:cs="宋体"/>
          <w:i w:val="0"/>
          <w:iCs w:val="0"/>
          <w:color w:val="auto"/>
          <w:kern w:val="2"/>
          <w:sz w:val="21"/>
          <w:szCs w:val="21"/>
          <w:highlight w:val="none"/>
        </w:rPr>
        <w:t>争议评审小组成员的确定：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选定争议评审员的期限：</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争议评审小组成员的报酬承担方式：</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其他事项的约定：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bidi w:val="0"/>
        <w:spacing w:line="440" w:lineRule="exact"/>
        <w:ind w:firstLine="420" w:firstLineChars="200"/>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20.3.2 争议评审小组的决定</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合同当事人关于本项的约定：</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w:t>
      </w:r>
    </w:p>
    <w:p>
      <w:pPr>
        <w:pageBreakBefore w:val="0"/>
        <w:kinsoku/>
        <w:wordWrap/>
        <w:overflowPunct/>
        <w:topLinePunct w:val="0"/>
        <w:autoSpaceDE/>
        <w:autoSpaceDN/>
        <w:bidi w:val="0"/>
        <w:adjustRightInd/>
        <w:spacing w:line="440" w:lineRule="exact"/>
        <w:ind w:firstLine="420" w:firstLineChars="200"/>
        <w:jc w:val="both"/>
        <w:outlineLvl w:val="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20.4仲裁或诉讼</w:t>
      </w:r>
      <w:bookmarkEnd w:id="697"/>
    </w:p>
    <w:p>
      <w:pPr>
        <w:pageBreakBefore w:val="0"/>
        <w:kinsoku/>
        <w:wordWrap/>
        <w:overflowPunct/>
        <w:topLinePunct w:val="0"/>
        <w:autoSpaceDE/>
        <w:autoSpaceDN/>
        <w:bidi w:val="0"/>
        <w:adjustRightInd/>
        <w:spacing w:line="440" w:lineRule="exact"/>
        <w:ind w:firstLine="420" w:firstLineChars="200"/>
        <w:jc w:val="both"/>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因合同及合同有关事项发生的争议，按下列第</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2</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种方式解决：</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（1）向</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sz w:val="21"/>
          <w:szCs w:val="21"/>
          <w:highlight w:val="none"/>
          <w:u w:val="single"/>
        </w:rPr>
        <w:t xml:space="preserve">  / </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仲裁委员会申请仲裁；</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i w:val="0"/>
          <w:iCs w:val="0"/>
          <w:color w:val="auto"/>
          <w:kern w:val="2"/>
          <w:sz w:val="21"/>
          <w:szCs w:val="21"/>
          <w:highlight w:val="none"/>
        </w:rPr>
      </w:pPr>
      <w:r>
        <w:rPr>
          <w:rFonts w:hint="eastAsia" w:ascii="宋体" w:hAnsi="宋体" w:eastAsia="宋体" w:cs="宋体"/>
          <w:i w:val="0"/>
          <w:iCs w:val="0"/>
          <w:color w:val="auto"/>
          <w:kern w:val="2"/>
          <w:sz w:val="21"/>
          <w:szCs w:val="21"/>
          <w:highlight w:val="none"/>
        </w:rPr>
        <w:t>（2）向</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b/>
          <w:i w:val="0"/>
          <w:iCs w:val="0"/>
          <w:color w:val="auto"/>
          <w:sz w:val="21"/>
          <w:szCs w:val="21"/>
          <w:highlight w:val="none"/>
          <w:u w:val="single"/>
        </w:rPr>
        <w:t>工程所在地</w:t>
      </w:r>
      <w:r>
        <w:rPr>
          <w:rFonts w:hint="eastAsia" w:ascii="宋体" w:hAnsi="宋体" w:eastAsia="宋体" w:cs="宋体"/>
          <w:i w:val="0"/>
          <w:iCs w:val="0"/>
          <w:color w:val="auto"/>
          <w:kern w:val="2"/>
          <w:sz w:val="21"/>
          <w:szCs w:val="21"/>
          <w:highlight w:val="none"/>
          <w:u w:val="single"/>
        </w:rPr>
        <w:t xml:space="preserve">     </w:t>
      </w:r>
      <w:r>
        <w:rPr>
          <w:rFonts w:hint="eastAsia" w:ascii="宋体" w:hAnsi="宋体" w:eastAsia="宋体" w:cs="宋体"/>
          <w:i w:val="0"/>
          <w:iCs w:val="0"/>
          <w:color w:val="auto"/>
          <w:kern w:val="2"/>
          <w:sz w:val="21"/>
          <w:szCs w:val="21"/>
          <w:highlight w:val="none"/>
        </w:rPr>
        <w:t>人民法院起诉。</w:t>
      </w:r>
      <w:bookmarkEnd w:id="698"/>
      <w:bookmarkEnd w:id="699"/>
      <w:bookmarkEnd w:id="700"/>
      <w:bookmarkEnd w:id="701"/>
      <w:bookmarkEnd w:id="702"/>
      <w:bookmarkEnd w:id="703"/>
    </w:p>
    <w:p>
      <w:pPr>
        <w:pStyle w:val="6"/>
        <w:pageBreakBefore w:val="0"/>
        <w:widowControl/>
        <w:kinsoku/>
        <w:wordWrap/>
        <w:overflowPunct/>
        <w:topLinePunct w:val="0"/>
        <w:bidi w:val="0"/>
        <w:spacing w:line="440" w:lineRule="exact"/>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kern w:val="2"/>
          <w:sz w:val="21"/>
          <w:szCs w:val="21"/>
          <w:highlight w:val="none"/>
          <w:lang w:val="en-US" w:eastAsia="zh-CN" w:bidi="ar-SA"/>
        </w:rPr>
        <w:t xml:space="preserve">  21.专用条款补充内容：</w:t>
      </w:r>
    </w:p>
    <w:p>
      <w:pPr>
        <w:pStyle w:val="15"/>
        <w:keepNext w:val="0"/>
        <w:keepLines w:val="0"/>
        <w:pageBreakBefore w:val="0"/>
        <w:kinsoku/>
        <w:wordWrap/>
        <w:overflowPunct/>
        <w:topLinePunct w:val="0"/>
        <w:bidi w:val="0"/>
        <w:spacing w:line="440" w:lineRule="exact"/>
        <w:ind w:firstLine="413" w:firstLineChars="196"/>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21.1本工程中标后，承包人不得转让转包或变相转包。</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21.2中标项目负责人一经甲方确认，承包人不得擅自变更。项目负责人和五大员的到位率不得低于80％。技术负责人施工期间到位率不得少于日历天数的 80％。以上人员均须为中标单位在职职工，经甲方确认后原则上不予以变更，如需变更则按相关规定办理变更手续，变更后的项目经理及其他人员的资质等要求不得低于变更前且仍须为中标单位在职职工。</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如需变更则按相关规定办理变更手续，若变更原因为以下其中之一的：</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①注册证书有效期满且未延续注册或被依法注销撤销的；</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②岗位资格证书、职称证书、考核证书失效的；</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③与受聘企业已经解除劳动合同的；</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④因患病、发生意外等身体原因不能在施工现场进行管理的；</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承包人有上诉情况需变更项目负责人的，须按24万元/人次的标准支付违约金，变更主要施工管理人员的，须按承包人4万元/人次的标准支付违约金；</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若变更原因为以下其中之一的：</w:t>
      </w:r>
    </w:p>
    <w:p>
      <w:pPr>
        <w:keepNext w:val="0"/>
        <w:keepLines w:val="0"/>
        <w:pageBreakBefore w:val="0"/>
        <w:kinsoku/>
        <w:wordWrap/>
        <w:overflowPunct/>
        <w:topLinePunct w:val="0"/>
        <w:bidi w:val="0"/>
        <w:spacing w:line="440" w:lineRule="exact"/>
        <w:ind w:left="422"/>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①违法违规行为不能继续从事施工现场管理工作的；</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②被建设单位认为履责不力等原因不宜继续从事施工现场管理工作的；</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③法律法规规定的其他情形；</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承包人有上诉情况需变更项目负责人的，须按30万元/人次的标准支付违约金，变更主要施工管理人员的，须按承包人5万元/人次的标准支付违约金；</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如擅自更换项目负责人的，承包人须按50万元/人次的标准支付违约金。</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人员当天上班时间在现场4小时以下的视为缺席，建设单位可以按到岗率天数为基数，对缺席人员按天计算违约金，承包人承诺的项目负责人和技术负责人每缺席一天按每人次2000元支付违约金；主要其他关键管理人员每缺席一天按每人次1000元支付违约金。考勤方式按相关规定执行。上述人员如果未经发包人及监理单位许可，擅自离岗的，作违约论处。上述人员到位率每周例会通报一次，且在监理月报中反映，承包人的上述人员在发包人发送到岗书面催告单三次以上不及时到岗的，发包人有权解除合同，承包人承担违约责任。</w:t>
      </w:r>
    </w:p>
    <w:p>
      <w:pPr>
        <w:pStyle w:val="15"/>
        <w:keepNext w:val="0"/>
        <w:keepLines w:val="0"/>
        <w:pageBreakBefore w:val="0"/>
        <w:kinsoku/>
        <w:wordWrap/>
        <w:overflowPunct/>
        <w:topLinePunct w:val="0"/>
        <w:bidi w:val="0"/>
        <w:spacing w:line="440" w:lineRule="exact"/>
        <w:ind w:firstLine="413" w:firstLineChars="196"/>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21.3在施工过程中若出现工程质量、进度等问题，在发包方三次书面通知后仍未能采取有效措施的，发包方有权单方终止合同，并保留索赔的权利。</w:t>
      </w:r>
    </w:p>
    <w:p>
      <w:pPr>
        <w:pStyle w:val="15"/>
        <w:keepNext w:val="0"/>
        <w:keepLines w:val="0"/>
        <w:pageBreakBefore w:val="0"/>
        <w:kinsoku/>
        <w:wordWrap/>
        <w:overflowPunct/>
        <w:topLinePunct w:val="0"/>
        <w:bidi w:val="0"/>
        <w:spacing w:line="440" w:lineRule="exact"/>
        <w:ind w:firstLine="413" w:firstLineChars="196"/>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21.4承包人对自己施工范围内的工程要做好成品保护，且应注意保护其他承包人的工作成果；由于承包人原因造成其他承包人工程损坏的，由承包人自行妥善处理并承担由此引起的全部修复费用；自身不能妥善处理、影响任一方工程进度的，监理单位及发包人有权作出赔偿决断，费用从承包人工程款或结算款中扣减。</w:t>
      </w:r>
    </w:p>
    <w:p>
      <w:pPr>
        <w:pStyle w:val="15"/>
        <w:keepNext w:val="0"/>
        <w:keepLines w:val="0"/>
        <w:pageBreakBefore w:val="0"/>
        <w:kinsoku/>
        <w:wordWrap/>
        <w:overflowPunct/>
        <w:topLinePunct w:val="0"/>
        <w:bidi w:val="0"/>
        <w:spacing w:line="440" w:lineRule="exact"/>
        <w:ind w:firstLine="413" w:firstLineChars="196"/>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21.5承包人保证在规定时间内办理备案、民工工资保证金（农民工工伤保险）交存等相关手续。若承包人未按规定执行，视为承包人自动放弃承包资格。</w:t>
      </w:r>
    </w:p>
    <w:p>
      <w:pPr>
        <w:pStyle w:val="15"/>
        <w:keepNext w:val="0"/>
        <w:keepLines w:val="0"/>
        <w:pageBreakBefore w:val="0"/>
        <w:kinsoku/>
        <w:wordWrap/>
        <w:overflowPunct/>
        <w:topLinePunct w:val="0"/>
        <w:bidi w:val="0"/>
        <w:spacing w:line="440" w:lineRule="exact"/>
        <w:ind w:firstLine="413" w:firstLineChars="196"/>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21.6本合同存续期间，承包人未及时支付民工工资，致使民工上访或采取其他过激行为时，视为承包人违约，将相关行为报有关主管部门按规定执行。</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21.7施工用水、电承包人应单独设置水、电计量表，承包人按实际用量及市场价格向相关单位支付。</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21.8承包人应计划有序的堆放和处理施工废弃物，避免对环境造成破坏。因承包人任意堆放或弃置施工废弃物造成妨碍公共交通、影响城镇居民生活、危及居民安全、破坏周围环境的，承包人应承担全部责任。</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21.9农民工工伤保险按绍政办[2007]100号《绍兴市人民政府办公室转发市劳动保障局等部门关于绍兴市区建设工程施工企业农民工参加工伤保险实施意见的通知》精神缴纳。该费用</w:t>
      </w:r>
      <w:r>
        <w:rPr>
          <w:rFonts w:hint="eastAsia" w:ascii="宋体" w:hAnsi="宋体" w:eastAsia="宋体" w:cs="宋体"/>
          <w:b/>
          <w:color w:val="auto"/>
          <w:sz w:val="21"/>
          <w:szCs w:val="21"/>
          <w:highlight w:val="none"/>
          <w:u w:val="single"/>
          <w:lang w:val="en-US" w:eastAsia="zh-CN"/>
        </w:rPr>
        <w:t>已包含在规费中</w:t>
      </w:r>
      <w:r>
        <w:rPr>
          <w:rFonts w:hint="eastAsia" w:ascii="宋体" w:hAnsi="宋体" w:eastAsia="宋体" w:cs="宋体"/>
          <w:b/>
          <w:i w:val="0"/>
          <w:iCs w:val="0"/>
          <w:color w:val="auto"/>
          <w:sz w:val="21"/>
          <w:szCs w:val="21"/>
          <w:highlight w:val="none"/>
          <w:u w:val="single"/>
          <w:lang w:val="en-US" w:eastAsia="zh-CN" w:bidi="ar-SA"/>
        </w:rPr>
        <w:t>，要求中标人在开工前完成向市地税部门申报缴纳，并向市社保局办理相关手续。</w:t>
      </w:r>
      <w:r>
        <w:rPr>
          <w:rFonts w:hint="eastAsia" w:ascii="宋体" w:hAnsi="宋体" w:eastAsia="宋体" w:cs="宋体"/>
          <w:b/>
          <w:color w:val="auto"/>
          <w:sz w:val="21"/>
          <w:szCs w:val="21"/>
          <w:highlight w:val="none"/>
          <w:u w:val="single"/>
          <w:lang w:val="en-US" w:eastAsia="zh-CN"/>
        </w:rPr>
        <w:t>未缴纳的，结算时按实际应当产生的金额扣除</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如遇政策性文件调整，需做相应调整</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21.10承包人应当为本合同工程和施工场地内的自有人员、设备及第三方生命财产办理保险并支付保险费用，费用已包含在合同总价内。因承包人未办理保险所造成发包人、监理人、其他承包人、第三方人员的损失，承包人承担赔偿责任。</w:t>
      </w:r>
    </w:p>
    <w:p>
      <w:pPr>
        <w:pStyle w:val="15"/>
        <w:keepNext w:val="0"/>
        <w:keepLines w:val="0"/>
        <w:pageBreakBefore w:val="0"/>
        <w:kinsoku/>
        <w:wordWrap/>
        <w:overflowPunct/>
        <w:topLinePunct w:val="0"/>
        <w:bidi w:val="0"/>
        <w:spacing w:line="440" w:lineRule="exact"/>
        <w:ind w:firstLine="413" w:firstLineChars="196"/>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21.11发包人按合同约定履行相应的义务，发包人有权要求承包人在工程竣工验收合格后15天内，将工程交付给发包人。承包人延迟交付的，每延迟一日承包人须按1000元/日向发包人支付违约金。</w:t>
      </w:r>
    </w:p>
    <w:p>
      <w:pPr>
        <w:pStyle w:val="15"/>
        <w:keepNext w:val="0"/>
        <w:keepLines w:val="0"/>
        <w:pageBreakBefore w:val="0"/>
        <w:kinsoku/>
        <w:wordWrap/>
        <w:overflowPunct/>
        <w:topLinePunct w:val="0"/>
        <w:bidi w:val="0"/>
        <w:spacing w:line="440" w:lineRule="exact"/>
        <w:ind w:firstLine="413" w:firstLineChars="196"/>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21.12承包人施工应做好环境保护、文明施工，防止噪声、严禁污染环境，并负责处理好因弃土等原因引起的各类投诉。如有不文明施工行为发生，除负责消除影响外，承包人须按违约金2000元/次的标准支付违约金，情节严重的从重处理，并报相关上级管理部门。</w:t>
      </w:r>
    </w:p>
    <w:p>
      <w:pPr>
        <w:pStyle w:val="15"/>
        <w:keepNext w:val="0"/>
        <w:keepLines w:val="0"/>
        <w:pageBreakBefore w:val="0"/>
        <w:kinsoku/>
        <w:wordWrap/>
        <w:overflowPunct/>
        <w:topLinePunct w:val="0"/>
        <w:bidi w:val="0"/>
        <w:spacing w:line="440" w:lineRule="exact"/>
        <w:ind w:firstLine="422" w:firstLineChars="200"/>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21.13承包人应妥善处理好与周边群众的关系，并负责做好因施工引起的相关纠纷及承担相关费用。</w:t>
      </w:r>
    </w:p>
    <w:p>
      <w:pPr>
        <w:pStyle w:val="15"/>
        <w:keepNext w:val="0"/>
        <w:keepLines w:val="0"/>
        <w:pageBreakBefore w:val="0"/>
        <w:kinsoku/>
        <w:wordWrap/>
        <w:overflowPunct/>
        <w:topLinePunct w:val="0"/>
        <w:bidi w:val="0"/>
        <w:spacing w:line="440" w:lineRule="exact"/>
        <w:ind w:firstLine="422" w:firstLineChars="200"/>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21.14承包人在施工时，如造成对周边人身财产安全损失的，须负责处理好善后工作及承担相关费用。</w:t>
      </w:r>
    </w:p>
    <w:p>
      <w:pPr>
        <w:pStyle w:val="15"/>
        <w:keepNext w:val="0"/>
        <w:keepLines w:val="0"/>
        <w:pageBreakBefore w:val="0"/>
        <w:kinsoku/>
        <w:wordWrap/>
        <w:overflowPunct/>
        <w:topLinePunct w:val="0"/>
        <w:bidi w:val="0"/>
        <w:spacing w:line="440" w:lineRule="exact"/>
        <w:ind w:firstLine="422" w:firstLineChars="200"/>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21.15本工程质量要求及施工中须遵循的技术规范。施工、产品材料规格、品牌及质量技术要求，各类参数等必须符合设计技术要求（附设计说明及图纸）。除非发包人另有要求，承包人必须按发包人提供的施工图和相关国家规范和标准施工，未提到的其他规范和标准，只要与本工程相关，承包人都必须遵照执行。</w:t>
      </w:r>
    </w:p>
    <w:p>
      <w:pPr>
        <w:keepNext w:val="0"/>
        <w:keepLines w:val="0"/>
        <w:pageBreakBefore w:val="0"/>
        <w:kinsoku/>
        <w:wordWrap/>
        <w:overflowPunct/>
        <w:topLinePunct w:val="0"/>
        <w:bidi w:val="0"/>
        <w:spacing w:line="440" w:lineRule="exact"/>
        <w:ind w:firstLine="413" w:firstLineChars="196"/>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21.16承包人须积极按市政府有关扬尘整治文件做好现场防止扬尘工作、按市行风检查小组要求认真落实，如被市级相关部门通报或被市行风检查小组查实问题向市领导汇报，承包人必须无条件在规定期限内整改完毕并处以每次扣除 5 万元安全文明施工费，发生三次（含）以上，发包人有权单方终止合同，并保留索赔的权利。</w:t>
      </w:r>
    </w:p>
    <w:p>
      <w:pPr>
        <w:keepNext w:val="0"/>
        <w:keepLines w:val="0"/>
        <w:pageBreakBefore w:val="0"/>
        <w:widowControl/>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21.17履约保证金：</w:t>
      </w:r>
      <w:r>
        <w:rPr>
          <w:rFonts w:hint="eastAsia" w:ascii="宋体" w:hAnsi="宋体" w:eastAsia="宋体" w:cs="宋体"/>
          <w:b/>
          <w:color w:val="auto"/>
          <w:sz w:val="21"/>
          <w:szCs w:val="21"/>
          <w:highlight w:val="none"/>
          <w:u w:val="single"/>
        </w:rPr>
        <w:t>工程竣工验收合格并存档备案后</w:t>
      </w:r>
      <w:r>
        <w:rPr>
          <w:rFonts w:hint="eastAsia" w:ascii="宋体" w:hAnsi="宋体" w:eastAsia="宋体" w:cs="宋体"/>
          <w:b/>
          <w:color w:val="auto"/>
          <w:sz w:val="21"/>
          <w:szCs w:val="21"/>
          <w:highlight w:val="none"/>
          <w:u w:val="single"/>
          <w:lang w:val="en-US" w:eastAsia="zh-CN"/>
        </w:rPr>
        <w:t>10日内</w:t>
      </w:r>
      <w:r>
        <w:rPr>
          <w:rFonts w:hint="eastAsia" w:ascii="宋体" w:hAnsi="宋体" w:eastAsia="宋体" w:cs="宋体"/>
          <w:b/>
          <w:color w:val="auto"/>
          <w:sz w:val="21"/>
          <w:szCs w:val="21"/>
          <w:highlight w:val="none"/>
          <w:u w:val="single"/>
        </w:rPr>
        <w:t>予以退还（不计息</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rPr>
        <w:t>履约保证金</w:t>
      </w:r>
      <w:r>
        <w:rPr>
          <w:rFonts w:hint="eastAsia" w:ascii="宋体" w:hAnsi="宋体" w:eastAsia="宋体" w:cs="宋体"/>
          <w:b/>
          <w:i w:val="0"/>
          <w:iCs w:val="0"/>
          <w:color w:val="auto"/>
          <w:sz w:val="21"/>
          <w:szCs w:val="21"/>
          <w:highlight w:val="none"/>
          <w:u w:val="single"/>
          <w:lang w:val="en-US" w:eastAsia="zh-CN" w:bidi="ar-SA"/>
        </w:rPr>
        <w:t>。</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21.18本项目工程款支付实行工程款和工资款两条线拨付机制，中标人中标后需在绍兴市区范围内的任一家银行建立项目农民工工资专用账户，发包人在向中标人支付工程款时将工程款的20％打入项目农民工工资专用账户用于支付农民工工资，此账户的款项只能用于支付农民工工资，不得挪作他用。本项目实行农民工用工实名制管理和农民工工资专用账户管理制度，中标人在农民工进入施工现场3天内应当依法与农民工签订劳动合同，并给其在开设农民工工资专用账户的银行办理实名制银行卡，委托银行将农民工工资直接划入农民工的实名制卡中。农民工须进行实名制电子考勤。若发生拖欠民工工资等情况，则履约保证金不予退还。</w:t>
      </w:r>
    </w:p>
    <w:p>
      <w:pPr>
        <w:pStyle w:val="15"/>
        <w:keepNext w:val="0"/>
        <w:keepLines w:val="0"/>
        <w:pageBreakBefore w:val="0"/>
        <w:kinsoku/>
        <w:wordWrap/>
        <w:overflowPunct/>
        <w:topLinePunct w:val="0"/>
        <w:bidi w:val="0"/>
        <w:spacing w:line="440" w:lineRule="exact"/>
        <w:ind w:firstLine="422" w:firstLineChars="200"/>
        <w:textAlignment w:val="auto"/>
        <w:outlineLvl w:val="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21.19关于工程实施过程中发生的变更联系单，必须严格遵守</w:t>
      </w:r>
      <w:r>
        <w:rPr>
          <w:rFonts w:hint="eastAsia" w:hAnsi="宋体" w:cs="宋体"/>
          <w:b/>
          <w:i w:val="0"/>
          <w:iCs w:val="0"/>
          <w:color w:val="auto"/>
          <w:sz w:val="21"/>
          <w:szCs w:val="21"/>
          <w:highlight w:val="none"/>
          <w:u w:val="single"/>
          <w:lang w:val="en-US" w:eastAsia="zh-CN" w:bidi="ar-SA"/>
        </w:rPr>
        <w:t>相关</w:t>
      </w:r>
      <w:r>
        <w:rPr>
          <w:rFonts w:hint="eastAsia" w:ascii="宋体" w:hAnsi="宋体" w:eastAsia="宋体" w:cs="宋体"/>
          <w:b/>
          <w:i w:val="0"/>
          <w:iCs w:val="0"/>
          <w:color w:val="auto"/>
          <w:sz w:val="21"/>
          <w:szCs w:val="21"/>
          <w:highlight w:val="none"/>
          <w:u w:val="single"/>
          <w:lang w:val="en-US" w:eastAsia="zh-CN" w:bidi="ar-SA"/>
        </w:rPr>
        <w:t>文件等规定，做到“先审批后实施”，对于未经书面批复的联系单，承包人擅自施工的，发包方有权不予认可。认可后变更联系单的工程量须经建设单位委托的咨询单位审核。</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21.20中标单位中标后必须遵守业主相关工程建设管理制度，施工现场须建立LBS定位在岗考核（按建设主管部门要求做好实名制考核等工作）。</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21.21保修金支付条款：保修金为结算审计价的1.5％，在保修期五年满后30天内退还(不计息)，多退少补。所承包工程任何部位发生质量问题，承包人应及时提供修复，费用由责任方承担。</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21.22本工程保修期从通过竣工验收合格之日起计算。</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21.23甲方有权增加与工程相关的工作，乙方不得拒绝。甲方可以取消部分工程内容，乙方必须接受，甲方对此不进行任何补偿。</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21.24在竣工验收合格后10天内向发包人提供竣工图及竣工资料一式5套。档案归档费用由承包人支付（含需向城建档案馆缴纳的施工、监理、建设单位三方竣工资料归档费用），并及时办理好工程备案手续及档案馆存档手续。</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21.25乙方必须按国家工程建设的有关规定，以及省、市、区文明施工办法做好安全文明施工，特别是交通安全及一切地下设施的安全，在施工过程中发生的一切安全事故均由乙方自理，与甲方无关。乙方在施工过程中有义务对原工程加以保护，由乙方造成的损坏将原价赔偿。乙方需做好现场安全围护及交通维护工作，施工时配备一定数量专职交管人员管理交通秩序，必要时要外聘专职交管人员，费用在投标时考虑，甲方不另行支付。 如发现在施工期间未按要求及时完善和设置交通标牌等安全生产围护情况的，每发现一次处以违约金 2000 元。</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21.26 本工程施工时，乙方应做好施工管沟围护及材料堆放的安全工作，放置明显警示标志、夜间设置施工警告灯，以确保不影响车辆安全通行。否则造成事故的损失，责任由乙方负全责。</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21.27 项目部场地由乙方自行考虑。施工期间乙方需要临时用地由乙方自行解决。</w:t>
      </w:r>
    </w:p>
    <w:p>
      <w:pPr>
        <w:keepNext w:val="0"/>
        <w:keepLines w:val="0"/>
        <w:pageBreakBefore w:val="0"/>
        <w:kinsoku/>
        <w:wordWrap/>
        <w:overflowPunct/>
        <w:topLinePunct w:val="0"/>
        <w:bidi w:val="0"/>
        <w:snapToGrid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21.28所有货物必须在检验合格并经招标人同意后，方可用于本项目。</w:t>
      </w:r>
    </w:p>
    <w:p>
      <w:pPr>
        <w:pStyle w:val="15"/>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21.29无偿提供给招标人办公室3间，值班休息室3间。</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2" w:firstLineChars="200"/>
        <w:jc w:val="left"/>
        <w:textAlignment w:val="auto"/>
        <w:outlineLvl w:val="9"/>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21.30配套服务费（已包含总承包管理及配套服务费用）：总承包单位可按分包工程中标价的一定比例向分包单位收取配套服务费。其他（家具、厨房设备等）的按中标价的0.5%向分包单位收取；基础设施服务工程不得收取任何服务费用；未列入或者未明确部分由业主出具指令单形式明确。除水电费以外，不得向分包单位收取其他任何费用。</w:t>
      </w:r>
    </w:p>
    <w:p>
      <w:pPr>
        <w:keepNext w:val="0"/>
        <w:keepLines w:val="0"/>
        <w:pageBreakBefore w:val="0"/>
        <w:widowControl w:val="0"/>
        <w:kinsoku/>
        <w:wordWrap/>
        <w:overflowPunct/>
        <w:topLinePunct w:val="0"/>
        <w:autoSpaceDE/>
        <w:autoSpaceDN/>
        <w:bidi w:val="0"/>
        <w:adjustRightInd/>
        <w:spacing w:line="440" w:lineRule="exact"/>
        <w:ind w:right="0" w:rightChars="0" w:firstLine="422" w:firstLineChars="200"/>
        <w:jc w:val="left"/>
        <w:textAlignment w:val="auto"/>
        <w:outlineLvl w:val="9"/>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21.31基础设施服务工程：</w:t>
      </w:r>
      <w:r>
        <w:rPr>
          <w:rFonts w:hint="eastAsia" w:ascii="宋体" w:hAnsi="宋体" w:cs="宋体"/>
          <w:b/>
          <w:i w:val="0"/>
          <w:iCs w:val="0"/>
          <w:color w:val="auto"/>
          <w:sz w:val="21"/>
          <w:szCs w:val="21"/>
          <w:highlight w:val="none"/>
          <w:u w:val="single"/>
          <w:lang w:val="en-US" w:eastAsia="zh-CN" w:bidi="ar-SA"/>
        </w:rPr>
        <w:t xml:space="preserve">                            </w:t>
      </w:r>
      <w:r>
        <w:rPr>
          <w:rFonts w:hint="eastAsia" w:ascii="宋体" w:hAnsi="宋体" w:eastAsia="宋体" w:cs="宋体"/>
          <w:b/>
          <w:i w:val="0"/>
          <w:iCs w:val="0"/>
          <w:color w:val="auto"/>
          <w:sz w:val="21"/>
          <w:szCs w:val="21"/>
          <w:highlight w:val="none"/>
          <w:u w:val="single"/>
          <w:lang w:val="en-US" w:eastAsia="zh-CN" w:bidi="ar-SA"/>
        </w:rPr>
        <w:t>。</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21.32中标单位中标之后，须及时关注铝合金型材等材料涨幅情况，及时采购，材料费涨价带来的涨价风险由中标单位自行承担。</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21.33承包人需设立专用资金监管账户，具体按</w:t>
      </w:r>
      <w:r>
        <w:rPr>
          <w:rFonts w:hint="eastAsia" w:ascii="宋体" w:hAnsi="宋体" w:cs="宋体"/>
          <w:b/>
          <w:i w:val="0"/>
          <w:iCs w:val="0"/>
          <w:color w:val="auto"/>
          <w:sz w:val="21"/>
          <w:szCs w:val="21"/>
          <w:highlight w:val="none"/>
          <w:u w:val="single"/>
          <w:lang w:val="en-US" w:eastAsia="zh-CN" w:bidi="ar-SA"/>
        </w:rPr>
        <w:t>相关文件</w:t>
      </w:r>
      <w:r>
        <w:rPr>
          <w:rFonts w:hint="eastAsia" w:ascii="宋体" w:hAnsi="宋体" w:eastAsia="宋体" w:cs="宋体"/>
          <w:b/>
          <w:i w:val="0"/>
          <w:iCs w:val="0"/>
          <w:color w:val="auto"/>
          <w:sz w:val="21"/>
          <w:szCs w:val="21"/>
          <w:highlight w:val="none"/>
          <w:u w:val="single"/>
          <w:lang w:val="en-US" w:eastAsia="zh-CN" w:bidi="ar-SA"/>
        </w:rPr>
        <w:t>实施。</w:t>
      </w:r>
    </w:p>
    <w:p>
      <w:pPr>
        <w:pStyle w:val="11"/>
        <w:pageBreakBefore w:val="0"/>
        <w:kinsoku/>
        <w:wordWrap/>
        <w:overflowPunct/>
        <w:topLinePunct w:val="0"/>
        <w:bidi w:val="0"/>
        <w:spacing w:line="440" w:lineRule="exact"/>
        <w:ind w:firstLine="422" w:firstLineChars="20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21.34本项目用地红线范围内遗漏或Ⅰ标与Ⅱ标交接处责任不明的，由Ⅱ标施工单位负责施工。</w:t>
      </w:r>
    </w:p>
    <w:p>
      <w:pPr>
        <w:pageBreakBefore w:val="0"/>
        <w:widowControl/>
        <w:kinsoku/>
        <w:wordWrap/>
        <w:overflowPunct/>
        <w:topLinePunct w:val="0"/>
        <w:bidi w:val="0"/>
        <w:spacing w:line="440" w:lineRule="exact"/>
        <w:ind w:firstLine="422" w:firstLineChars="200"/>
        <w:rPr>
          <w:rFonts w:hint="eastAsia" w:ascii="宋体" w:hAnsi="宋体" w:eastAsia="宋体" w:cs="宋体"/>
          <w:b/>
          <w:i w:val="0"/>
          <w:iCs w:val="0"/>
          <w:color w:val="auto"/>
          <w:sz w:val="21"/>
          <w:szCs w:val="21"/>
          <w:highlight w:val="none"/>
          <w:u w:val="single"/>
          <w:lang w:val="en-US" w:eastAsia="zh-CN" w:bidi="ar-SA"/>
        </w:rPr>
      </w:pPr>
      <w:r>
        <w:rPr>
          <w:rFonts w:hint="eastAsia" w:ascii="宋体" w:hAnsi="宋体" w:eastAsia="宋体" w:cs="宋体"/>
          <w:b/>
          <w:i w:val="0"/>
          <w:iCs w:val="0"/>
          <w:color w:val="auto"/>
          <w:sz w:val="21"/>
          <w:szCs w:val="21"/>
          <w:highlight w:val="none"/>
          <w:u w:val="single"/>
          <w:lang w:val="en-US" w:eastAsia="zh-CN" w:bidi="ar-SA"/>
        </w:rPr>
        <w:t>21.35未尽事宜由承包人与发包人另行协商在合同中签订。</w:t>
      </w:r>
    </w:p>
    <w:p>
      <w:pPr>
        <w:pStyle w:val="32"/>
        <w:rPr>
          <w:rFonts w:hint="eastAsia"/>
          <w:color w:val="auto"/>
          <w:highlight w:val="none"/>
          <w:lang w:val="en-US" w:eastAsia="zh-CN"/>
        </w:rPr>
      </w:pPr>
    </w:p>
    <w:p>
      <w:pPr>
        <w:pageBreakBefore w:val="0"/>
        <w:widowControl/>
        <w:kinsoku/>
        <w:wordWrap/>
        <w:overflowPunct/>
        <w:topLinePunct w:val="0"/>
        <w:bidi w:val="0"/>
        <w:spacing w:line="440" w:lineRule="exact"/>
        <w:ind w:firstLine="422" w:firstLineChars="200"/>
        <w:rPr>
          <w:rFonts w:hint="eastAsia" w:ascii="宋体" w:hAnsi="宋体" w:eastAsia="宋体" w:cs="宋体"/>
          <w:b/>
          <w:color w:val="auto"/>
          <w:sz w:val="21"/>
          <w:szCs w:val="21"/>
          <w:highlight w:val="none"/>
          <w:u w:val="single"/>
        </w:rPr>
      </w:pPr>
    </w:p>
    <w:p>
      <w:pPr>
        <w:spacing w:line="940" w:lineRule="exact"/>
        <w:ind w:firstLine="420" w:firstLineChars="0"/>
        <w:jc w:val="center"/>
        <w:rPr>
          <w:rFonts w:hint="eastAsia" w:eastAsia="黑体"/>
          <w:color w:val="auto"/>
          <w:sz w:val="32"/>
          <w:highlight w:val="none"/>
        </w:rPr>
      </w:pPr>
    </w:p>
    <w:p>
      <w:pPr>
        <w:spacing w:line="940" w:lineRule="exact"/>
        <w:ind w:firstLine="420" w:firstLineChars="0"/>
        <w:jc w:val="center"/>
        <w:rPr>
          <w:rFonts w:eastAsia="黑体"/>
          <w:color w:val="auto"/>
          <w:sz w:val="32"/>
          <w:highlight w:val="none"/>
        </w:rPr>
      </w:pPr>
      <w:r>
        <w:rPr>
          <w:rFonts w:hint="eastAsia" w:eastAsia="黑体"/>
          <w:color w:val="auto"/>
          <w:sz w:val="32"/>
          <w:highlight w:val="none"/>
        </w:rPr>
        <w:t>安全生产合同</w:t>
      </w:r>
    </w:p>
    <w:p>
      <w:pPr>
        <w:spacing w:line="460" w:lineRule="exact"/>
        <w:ind w:firstLine="541" w:firstLineChars="282"/>
        <w:rPr>
          <w:rFonts w:ascii="宋体" w:hAnsi="宋体"/>
          <w:color w:val="auto"/>
          <w:w w:val="80"/>
          <w:sz w:val="24"/>
          <w:highlight w:val="none"/>
        </w:rPr>
      </w:pPr>
      <w:r>
        <w:rPr>
          <w:rFonts w:hint="eastAsia" w:ascii="宋体" w:hAnsi="宋体"/>
          <w:color w:val="auto"/>
          <w:w w:val="80"/>
          <w:sz w:val="24"/>
          <w:highlight w:val="none"/>
        </w:rPr>
        <w:t>为在</w:t>
      </w:r>
      <w:r>
        <w:rPr>
          <w:rFonts w:hint="eastAsia"/>
          <w:color w:val="auto"/>
          <w:w w:val="80"/>
          <w:sz w:val="24"/>
          <w:highlight w:val="none"/>
          <w:u w:val="single"/>
        </w:rPr>
        <w:t xml:space="preserve"> </w:t>
      </w:r>
      <w:r>
        <w:rPr>
          <w:color w:val="auto"/>
          <w:w w:val="80"/>
          <w:sz w:val="24"/>
          <w:highlight w:val="none"/>
          <w:u w:val="single"/>
        </w:rPr>
        <w:t xml:space="preserve">                </w:t>
      </w:r>
      <w:r>
        <w:rPr>
          <w:rFonts w:hint="eastAsia" w:ascii="宋体" w:hAnsi="宋体"/>
          <w:color w:val="auto"/>
          <w:w w:val="80"/>
          <w:sz w:val="24"/>
          <w:highlight w:val="none"/>
        </w:rPr>
        <w:t>施工合同的实施过程中创造安全、高效的施工环境，切实搞好本项目的安全管理工作，本项目发包人</w:t>
      </w:r>
      <w:r>
        <w:rPr>
          <w:rFonts w:hint="eastAsia"/>
          <w:color w:val="auto"/>
          <w:w w:val="80"/>
          <w:sz w:val="24"/>
          <w:highlight w:val="none"/>
          <w:u w:val="single"/>
        </w:rPr>
        <w:t xml:space="preserve"> </w:t>
      </w:r>
      <w:r>
        <w:rPr>
          <w:color w:val="auto"/>
          <w:w w:val="80"/>
          <w:sz w:val="24"/>
          <w:highlight w:val="none"/>
          <w:u w:val="single"/>
        </w:rPr>
        <w:t xml:space="preserve">          </w:t>
      </w:r>
      <w:r>
        <w:rPr>
          <w:rFonts w:hint="eastAsia" w:ascii="宋体" w:hAnsi="宋体"/>
          <w:color w:val="auto"/>
          <w:w w:val="80"/>
          <w:sz w:val="24"/>
          <w:highlight w:val="none"/>
        </w:rPr>
        <w:t xml:space="preserve">业主方 </w:t>
      </w:r>
      <w:r>
        <w:rPr>
          <w:rFonts w:hint="eastAsia" w:ascii="宋体" w:hAnsi="宋体"/>
          <w:color w:val="auto"/>
          <w:w w:val="80"/>
          <w:sz w:val="24"/>
          <w:highlight w:val="none"/>
          <w:u w:val="single"/>
        </w:rPr>
        <w:t xml:space="preserve">               </w:t>
      </w:r>
      <w:r>
        <w:rPr>
          <w:rFonts w:hint="eastAsia" w:ascii="宋体" w:hAnsi="宋体"/>
          <w:color w:val="auto"/>
          <w:w w:val="80"/>
          <w:sz w:val="24"/>
          <w:highlight w:val="none"/>
        </w:rPr>
        <w:t xml:space="preserve"> （以下简称“发包人”）与承包人 </w:t>
      </w:r>
      <w:r>
        <w:rPr>
          <w:rFonts w:ascii="宋体" w:hAnsi="宋体"/>
          <w:color w:val="auto"/>
          <w:w w:val="80"/>
          <w:sz w:val="24"/>
          <w:highlight w:val="none"/>
        </w:rPr>
        <w:t xml:space="preserve"> </w:t>
      </w:r>
      <w:r>
        <w:rPr>
          <w:rFonts w:hint="eastAsia"/>
          <w:color w:val="auto"/>
          <w:w w:val="80"/>
          <w:sz w:val="24"/>
          <w:highlight w:val="none"/>
          <w:u w:val="single"/>
        </w:rPr>
        <w:t xml:space="preserve"> </w:t>
      </w:r>
      <w:r>
        <w:rPr>
          <w:color w:val="auto"/>
          <w:w w:val="80"/>
          <w:sz w:val="24"/>
          <w:highlight w:val="none"/>
          <w:u w:val="single"/>
        </w:rPr>
        <w:t xml:space="preserve">              </w:t>
      </w:r>
      <w:r>
        <w:rPr>
          <w:rFonts w:hint="eastAsia" w:ascii="宋体" w:hAnsi="宋体"/>
          <w:color w:val="auto"/>
          <w:w w:val="80"/>
          <w:sz w:val="24"/>
          <w:highlight w:val="none"/>
        </w:rPr>
        <w:t>（以下简称“承包人”）特此签订安全生产合同。</w:t>
      </w:r>
    </w:p>
    <w:p>
      <w:pPr>
        <w:numPr>
          <w:ilvl w:val="1"/>
          <w:numId w:val="34"/>
        </w:numPr>
        <w:spacing w:line="460" w:lineRule="exact"/>
        <w:rPr>
          <w:rFonts w:ascii="宋体" w:hAnsi="宋体"/>
          <w:b/>
          <w:bCs/>
          <w:color w:val="auto"/>
          <w:w w:val="80"/>
          <w:sz w:val="24"/>
          <w:highlight w:val="none"/>
        </w:rPr>
      </w:pPr>
      <w:r>
        <w:rPr>
          <w:rFonts w:hint="eastAsia" w:ascii="宋体" w:hAnsi="宋体"/>
          <w:b/>
          <w:bCs/>
          <w:color w:val="auto"/>
          <w:w w:val="80"/>
          <w:sz w:val="24"/>
          <w:highlight w:val="none"/>
        </w:rPr>
        <w:t>发包人职责</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严格遵守国家有关安全生产的法律法规，认真执行工程承包合同中的有关安全要求。</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按照“安全第一、预防为主”和坚持“管生产必须管安全”的原则进行安全生产管理，做到生产与安全工作同时计划、布置、检查、总结和评比。</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重要的安全设施必须坚持与主体工程“三同时”的原则，即：同时设计、审批，同时施工，同时验收，投入使用。</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定期召开安全生产调度会，及时传达中央及地方有关安全生产的精神。</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组织对乙方施工现场安全生产检查，监督乙方及时处理发现的各项安全隐患。</w:t>
      </w:r>
    </w:p>
    <w:p>
      <w:pPr>
        <w:numPr>
          <w:ilvl w:val="1"/>
          <w:numId w:val="34"/>
        </w:numPr>
        <w:spacing w:line="460" w:lineRule="exact"/>
        <w:rPr>
          <w:rFonts w:ascii="宋体" w:hAnsi="宋体"/>
          <w:b/>
          <w:bCs/>
          <w:color w:val="auto"/>
          <w:w w:val="80"/>
          <w:sz w:val="24"/>
          <w:highlight w:val="none"/>
        </w:rPr>
      </w:pPr>
      <w:r>
        <w:rPr>
          <w:rFonts w:hint="eastAsia" w:ascii="宋体" w:hAnsi="宋体"/>
          <w:b/>
          <w:bCs/>
          <w:color w:val="auto"/>
          <w:w w:val="80"/>
          <w:sz w:val="24"/>
          <w:highlight w:val="none"/>
        </w:rPr>
        <w:t>承包人职责</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严格遵守《中华人民共和国安全生产法》、《建设工程安全生产管理条例》等国家有关安全生产的法律法规及相关的规定，认真执行工程承包合同中的有关安全要求。</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坚持“安全第一、预防为主”和坚持“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r>
        <w:rPr>
          <w:rFonts w:ascii="宋体" w:hAnsi="宋体"/>
          <w:color w:val="auto"/>
          <w:w w:val="80"/>
          <w:sz w:val="24"/>
          <w:highlight w:val="none"/>
        </w:rPr>
        <w:t>除按比例配备安全员外，承包人</w:t>
      </w:r>
      <w:r>
        <w:rPr>
          <w:rFonts w:hint="eastAsia" w:ascii="宋体" w:hAnsi="宋体"/>
          <w:color w:val="auto"/>
          <w:w w:val="80"/>
          <w:sz w:val="24"/>
          <w:highlight w:val="none"/>
        </w:rPr>
        <w:t>还应</w:t>
      </w:r>
      <w:r>
        <w:rPr>
          <w:rFonts w:ascii="宋体" w:hAnsi="宋体"/>
          <w:color w:val="auto"/>
          <w:w w:val="80"/>
          <w:sz w:val="24"/>
          <w:highlight w:val="none"/>
        </w:rPr>
        <w:t>根据国家安全生产监督管理总局《注册安全工程师管理规定》第六条“从业人员300人以上的煤矿、非煤矿矿山、建筑施工单位和危险物品生产、经营单位，应当按照不少于安全生产管理人员15%的比例配备注册安全工程师；安全生产管理人员在7人以下的，至少配备1名”的规定配备相应数量的注册安全工程师</w:t>
      </w:r>
      <w:r>
        <w:rPr>
          <w:rFonts w:hint="eastAsia" w:ascii="宋体" w:hAnsi="宋体"/>
          <w:color w:val="auto"/>
          <w:w w:val="80"/>
          <w:sz w:val="24"/>
          <w:highlight w:val="none"/>
        </w:rPr>
        <w:t>。</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承包人在任何时候都应采取各种合理的预防措施，防止其员工发生任何违法、违禁、暴力或妨碍治安的行为。</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w:t>
      </w:r>
      <w:r>
        <w:rPr>
          <w:rFonts w:ascii="宋体" w:hAnsi="宋体"/>
          <w:color w:val="auto"/>
          <w:w w:val="80"/>
          <w:sz w:val="24"/>
          <w:highlight w:val="none"/>
        </w:rPr>
        <w:t>《安全合格证》</w:t>
      </w:r>
      <w:r>
        <w:rPr>
          <w:rFonts w:hint="eastAsia" w:ascii="宋体" w:hAnsi="宋体"/>
          <w:color w:val="auto"/>
          <w:w w:val="80"/>
          <w:sz w:val="24"/>
          <w:highlight w:val="none"/>
        </w:rPr>
        <w:t>、</w:t>
      </w:r>
      <w:r>
        <w:rPr>
          <w:rFonts w:ascii="宋体" w:hAnsi="宋体"/>
          <w:color w:val="auto"/>
          <w:w w:val="80"/>
          <w:sz w:val="24"/>
          <w:highlight w:val="none"/>
        </w:rPr>
        <w:t>《特种作业操作证》</w:t>
      </w:r>
      <w:r>
        <w:rPr>
          <w:rFonts w:hint="eastAsia" w:ascii="宋体" w:hAnsi="宋体"/>
          <w:color w:val="auto"/>
          <w:w w:val="80"/>
          <w:sz w:val="24"/>
          <w:highlight w:val="none"/>
        </w:rPr>
        <w:t>后，方准持证上岗。施工现场如出现特种作业无证操作现象时，项目经理必须承担管理责任。</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操作人员上岗，必须按规定穿戴防护用品。施工负责人和安全检查员应随时检查劳动防护用品的穿戴情况，不按规定穿戴防护用品的人员不得上岗。</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所有施工机具设备和高空作业的设备均应定期检查，并有安全员的签字记录，保证其经常处于完好状态；不合格的机具、设备和劳动保护用品严禁使用。</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施工中采用新技术、新工艺、新设备、新材料时，必须制定相应的安全技术措施，施工现场必须具有相关的安全标志牌。</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承包人必须按照本工程项目特点，组织制定本工程实施中的生产安全事故应急求援预案；如果发生安全事故，应按照《国务院关于特大安全事故行政责任追究的规定》以及其他有关规定，及时上报有关部门，并坚持“三不放过”的原则，严肃处理相关责任人。</w:t>
      </w:r>
    </w:p>
    <w:p>
      <w:pPr>
        <w:numPr>
          <w:ilvl w:val="2"/>
          <w:numId w:val="34"/>
        </w:numPr>
        <w:spacing w:line="460" w:lineRule="exact"/>
        <w:rPr>
          <w:rFonts w:ascii="宋体" w:hAnsi="宋体"/>
          <w:color w:val="auto"/>
          <w:w w:val="80"/>
          <w:sz w:val="24"/>
          <w:highlight w:val="none"/>
        </w:rPr>
      </w:pPr>
      <w:r>
        <w:rPr>
          <w:rFonts w:hint="eastAsia" w:ascii="宋体" w:hAnsi="宋体"/>
          <w:color w:val="auto"/>
          <w:w w:val="80"/>
          <w:sz w:val="24"/>
          <w:highlight w:val="none"/>
        </w:rPr>
        <w:t>安全生产费用按照国家的相关规定使用和管理。</w:t>
      </w:r>
    </w:p>
    <w:p>
      <w:pPr>
        <w:numPr>
          <w:ilvl w:val="1"/>
          <w:numId w:val="34"/>
        </w:numPr>
        <w:spacing w:line="460" w:lineRule="exact"/>
        <w:rPr>
          <w:rFonts w:ascii="宋体" w:hAnsi="宋体"/>
          <w:b/>
          <w:bCs/>
          <w:color w:val="auto"/>
          <w:w w:val="80"/>
          <w:sz w:val="24"/>
          <w:highlight w:val="none"/>
        </w:rPr>
      </w:pPr>
      <w:r>
        <w:rPr>
          <w:rFonts w:hint="eastAsia" w:ascii="宋体" w:hAnsi="宋体"/>
          <w:b/>
          <w:bCs/>
          <w:color w:val="auto"/>
          <w:w w:val="80"/>
          <w:sz w:val="24"/>
          <w:highlight w:val="none"/>
        </w:rPr>
        <w:t>违约责任</w:t>
      </w:r>
    </w:p>
    <w:p>
      <w:pPr>
        <w:spacing w:line="460" w:lineRule="exact"/>
        <w:ind w:firstLine="384" w:firstLineChars="200"/>
        <w:rPr>
          <w:rFonts w:ascii="宋体" w:hAnsi="宋体"/>
          <w:color w:val="auto"/>
          <w:w w:val="80"/>
          <w:sz w:val="24"/>
          <w:highlight w:val="none"/>
        </w:rPr>
      </w:pPr>
      <w:r>
        <w:rPr>
          <w:rFonts w:hint="eastAsia" w:ascii="宋体" w:hAnsi="宋体"/>
          <w:color w:val="auto"/>
          <w:w w:val="80"/>
          <w:sz w:val="24"/>
          <w:highlight w:val="none"/>
        </w:rPr>
        <w:t>如因发包人或承包人违约造成安全事故，将依法追究责任。</w:t>
      </w:r>
    </w:p>
    <w:p>
      <w:pPr>
        <w:spacing w:line="460" w:lineRule="exact"/>
        <w:ind w:firstLine="360" w:firstLineChars="188"/>
        <w:rPr>
          <w:rFonts w:ascii="宋体" w:hAnsi="宋体"/>
          <w:color w:val="auto"/>
          <w:w w:val="80"/>
          <w:sz w:val="24"/>
          <w:highlight w:val="none"/>
        </w:rPr>
      </w:pPr>
      <w:r>
        <w:rPr>
          <w:rFonts w:hint="eastAsia" w:ascii="宋体" w:hAnsi="宋体"/>
          <w:color w:val="auto"/>
          <w:w w:val="80"/>
          <w:sz w:val="24"/>
          <w:highlight w:val="none"/>
        </w:rPr>
        <w:t>本合同由双方法定代表人或其授权的代理人签署并加盖单位章后生效，全部工程竣工验收后失效。</w:t>
      </w:r>
    </w:p>
    <w:p>
      <w:pPr>
        <w:spacing w:line="460" w:lineRule="exact"/>
        <w:ind w:firstLine="360" w:firstLineChars="188"/>
        <w:rPr>
          <w:rFonts w:ascii="宋体" w:hAnsi="宋体"/>
          <w:color w:val="auto"/>
          <w:w w:val="80"/>
          <w:sz w:val="24"/>
          <w:highlight w:val="none"/>
        </w:rPr>
      </w:pPr>
      <w:r>
        <w:rPr>
          <w:rFonts w:hint="eastAsia" w:ascii="宋体" w:hAnsi="宋体"/>
          <w:color w:val="auto"/>
          <w:w w:val="80"/>
          <w:sz w:val="24"/>
          <w:highlight w:val="none"/>
        </w:rPr>
        <w:t>本合同正本一式三份，副本九份，合同双方各执正本一份，副本三份，</w:t>
      </w:r>
      <w:r>
        <w:rPr>
          <w:rFonts w:hint="eastAsia" w:ascii="宋体"/>
          <w:color w:val="auto"/>
          <w:w w:val="80"/>
          <w:sz w:val="24"/>
          <w:highlight w:val="none"/>
        </w:rPr>
        <w:t>当正本与副本的内容不一致的，以正本为准。</w:t>
      </w:r>
    </w:p>
    <w:p>
      <w:pPr>
        <w:spacing w:line="460" w:lineRule="exact"/>
        <w:ind w:firstLine="360" w:firstLineChars="188"/>
        <w:rPr>
          <w:rFonts w:ascii="宋体" w:hAnsi="宋体"/>
          <w:color w:val="auto"/>
          <w:w w:val="80"/>
          <w:sz w:val="24"/>
          <w:highlight w:val="none"/>
        </w:rPr>
      </w:pPr>
      <w:r>
        <w:rPr>
          <w:rFonts w:hint="eastAsia" w:ascii="宋体" w:hAnsi="宋体"/>
          <w:color w:val="auto"/>
          <w:w w:val="80"/>
          <w:sz w:val="24"/>
          <w:highlight w:val="none"/>
        </w:rPr>
        <w:t xml:space="preserve">发包人：                                          </w:t>
      </w:r>
      <w:r>
        <w:rPr>
          <w:rFonts w:hint="eastAsia" w:ascii="宋体" w:hAnsi="宋体"/>
          <w:color w:val="auto"/>
          <w:w w:val="80"/>
          <w:sz w:val="24"/>
          <w:highlight w:val="none"/>
          <w:lang w:val="en-US" w:eastAsia="zh-CN"/>
        </w:rPr>
        <w:t xml:space="preserve"> </w:t>
      </w:r>
      <w:r>
        <w:rPr>
          <w:rFonts w:hint="eastAsia" w:ascii="宋体" w:hAnsi="宋体"/>
          <w:color w:val="auto"/>
          <w:w w:val="80"/>
          <w:sz w:val="24"/>
          <w:highlight w:val="none"/>
        </w:rPr>
        <w:t>承包人：</w:t>
      </w:r>
    </w:p>
    <w:p>
      <w:pPr>
        <w:spacing w:line="460" w:lineRule="exact"/>
        <w:ind w:firstLine="360" w:firstLineChars="188"/>
        <w:rPr>
          <w:rFonts w:ascii="宋体" w:hAnsi="宋体"/>
          <w:color w:val="auto"/>
          <w:w w:val="80"/>
          <w:sz w:val="24"/>
          <w:highlight w:val="none"/>
        </w:rPr>
      </w:pPr>
      <w:r>
        <w:rPr>
          <w:rFonts w:hint="eastAsia" w:ascii="宋体" w:hAnsi="宋体"/>
          <w:color w:val="auto"/>
          <w:w w:val="80"/>
          <w:sz w:val="24"/>
          <w:highlight w:val="none"/>
        </w:rPr>
        <w:t>法定代表人                                         法定代表人</w:t>
      </w:r>
    </w:p>
    <w:p>
      <w:pPr>
        <w:spacing w:line="460" w:lineRule="exact"/>
        <w:ind w:firstLine="360" w:firstLineChars="188"/>
        <w:rPr>
          <w:rFonts w:ascii="宋体" w:hAnsi="宋体"/>
          <w:color w:val="auto"/>
          <w:w w:val="80"/>
          <w:sz w:val="24"/>
          <w:highlight w:val="none"/>
        </w:rPr>
      </w:pPr>
      <w:r>
        <w:rPr>
          <w:rFonts w:hint="eastAsia" w:ascii="宋体" w:hAnsi="宋体"/>
          <w:color w:val="auto"/>
          <w:w w:val="80"/>
          <w:sz w:val="24"/>
          <w:highlight w:val="none"/>
        </w:rPr>
        <w:t xml:space="preserve">或其授权的代理人：（签字）           </w:t>
      </w:r>
      <w:r>
        <w:rPr>
          <w:rFonts w:hint="eastAsia" w:ascii="宋体" w:hAnsi="宋体"/>
          <w:color w:val="auto"/>
          <w:w w:val="80"/>
          <w:sz w:val="24"/>
          <w:highlight w:val="none"/>
          <w:lang w:val="en-US" w:eastAsia="zh-CN"/>
        </w:rPr>
        <w:t xml:space="preserve">              </w:t>
      </w:r>
      <w:r>
        <w:rPr>
          <w:rFonts w:hint="eastAsia" w:ascii="宋体" w:hAnsi="宋体"/>
          <w:color w:val="auto"/>
          <w:w w:val="80"/>
          <w:sz w:val="24"/>
          <w:highlight w:val="none"/>
        </w:rPr>
        <w:t>或其授权的代理人：（签字）</w:t>
      </w:r>
    </w:p>
    <w:p>
      <w:pPr>
        <w:spacing w:line="460" w:lineRule="exact"/>
        <w:ind w:firstLine="360" w:firstLineChars="188"/>
        <w:rPr>
          <w:rFonts w:ascii="宋体" w:hAnsi="宋体"/>
          <w:color w:val="auto"/>
          <w:w w:val="80"/>
          <w:sz w:val="24"/>
          <w:highlight w:val="none"/>
        </w:rPr>
      </w:pPr>
      <w:r>
        <w:rPr>
          <w:rFonts w:hint="eastAsia" w:ascii="宋体" w:hAnsi="宋体"/>
          <w:color w:val="auto"/>
          <w:w w:val="80"/>
          <w:sz w:val="24"/>
          <w:highlight w:val="none"/>
        </w:rPr>
        <w:t xml:space="preserve">年   月   日                                     </w:t>
      </w:r>
      <w:r>
        <w:rPr>
          <w:rFonts w:hint="eastAsia" w:ascii="宋体" w:hAnsi="宋体"/>
          <w:color w:val="auto"/>
          <w:w w:val="80"/>
          <w:sz w:val="24"/>
          <w:highlight w:val="none"/>
          <w:lang w:val="en-US" w:eastAsia="zh-CN"/>
        </w:rPr>
        <w:t xml:space="preserve">  </w:t>
      </w:r>
      <w:r>
        <w:rPr>
          <w:rFonts w:hint="eastAsia" w:ascii="宋体" w:hAnsi="宋体"/>
          <w:color w:val="auto"/>
          <w:w w:val="80"/>
          <w:sz w:val="24"/>
          <w:highlight w:val="none"/>
        </w:rPr>
        <w:t xml:space="preserve">  年  月   日</w:t>
      </w:r>
    </w:p>
    <w:p>
      <w:pPr>
        <w:pStyle w:val="32"/>
        <w:rPr>
          <w:color w:val="auto"/>
          <w:highlight w:val="none"/>
        </w:rPr>
      </w:pPr>
    </w:p>
    <w:p>
      <w:pPr>
        <w:ind w:firstLine="482" w:firstLineChars="200"/>
        <w:jc w:val="center"/>
        <w:rPr>
          <w:b/>
          <w:color w:val="auto"/>
          <w:highlight w:val="none"/>
        </w:rPr>
      </w:pPr>
      <w:r>
        <w:rPr>
          <w:rFonts w:hint="eastAsia" w:ascii="宋体" w:hAnsi="宋体"/>
          <w:b/>
          <w:color w:val="auto"/>
          <w:szCs w:val="21"/>
          <w:highlight w:val="none"/>
          <w:u w:val="single"/>
        </w:rPr>
        <w:br w:type="page"/>
      </w:r>
      <w:bookmarkStart w:id="710" w:name="_Toc45697245"/>
      <w:bookmarkEnd w:id="710"/>
      <w:bookmarkStart w:id="711" w:name="_Toc67589037"/>
      <w:r>
        <w:rPr>
          <w:rFonts w:hint="eastAsia" w:ascii="黑体" w:hAnsi="黑体" w:eastAsia="黑体"/>
          <w:b/>
          <w:bCs/>
          <w:color w:val="auto"/>
          <w:kern w:val="44"/>
          <w:sz w:val="44"/>
          <w:szCs w:val="44"/>
          <w:highlight w:val="none"/>
        </w:rPr>
        <w:t>第五章工程量清单编制</w:t>
      </w:r>
      <w:bookmarkEnd w:id="711"/>
    </w:p>
    <w:p>
      <w:pPr>
        <w:spacing w:line="360" w:lineRule="auto"/>
        <w:ind w:firstLine="480" w:firstLineChars="200"/>
        <w:rPr>
          <w:rFonts w:ascii="宋体" w:hAnsi="宋体"/>
          <w:color w:val="auto"/>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（一）工程量清单编制须按《浙江省建设工程计价规则》（2018版）实施，所采用的表格格式如下(具体详见附件)：</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招标工程量清单封面</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招标工程量清单扉页</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编制说明</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分部分项工程和施工技术措施费项目清单与计价表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施工组织（总价）措施项目清单与计价表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其他项目清单与计价汇总表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暂列金额明细表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材料（工程设备）暂估单价及调整表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专业工程暂估价表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专项技术措施暂估价表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计日工表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总承包服务费计价表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主要工日一览表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发包人提供材料和设备一览表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主要材料和工程设备一览表</w:t>
      </w:r>
    </w:p>
    <w:p>
      <w:pPr>
        <w:pStyle w:val="22"/>
        <w:numPr>
          <w:ilvl w:val="0"/>
          <w:numId w:val="35"/>
        </w:numPr>
        <w:spacing w:line="360" w:lineRule="auto"/>
        <w:rPr>
          <w:rFonts w:ascii="宋体" w:hAnsi="宋体"/>
          <w:color w:val="auto"/>
          <w:sz w:val="21"/>
          <w:szCs w:val="21"/>
          <w:highlight w:val="none"/>
        </w:rPr>
      </w:pPr>
      <w:r>
        <w:rPr>
          <w:rFonts w:hint="eastAsia" w:ascii="宋体" w:hAnsi="宋体"/>
          <w:color w:val="auto"/>
          <w:sz w:val="21"/>
          <w:szCs w:val="21"/>
          <w:highlight w:val="none"/>
        </w:rPr>
        <w:t>主要机械台班一览表</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（二）招标控制价编制应按省建设厅、省财政厅和省发改委联合颁布的计价政策性文件以及建设主管部门颁布的相关政策性文件实施。</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（三）招标人在招标文件中设置专门条款明确最高投标限价，防止投标人围标抬价。最高投标限价即为招标控制价，不得高于批准的概算造价。</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（四）为防止投标人恶意低价竞标，招标人可以在招标文件中设置风险控制价。</w:t>
      </w:r>
    </w:p>
    <w:p>
      <w:pPr>
        <w:spacing w:line="360" w:lineRule="auto"/>
        <w:ind w:firstLine="420" w:firstLineChars="200"/>
        <w:rPr>
          <w:rFonts w:ascii="宋体" w:hAnsi="宋体" w:cs="仿宋_GB2312"/>
          <w:color w:val="auto"/>
          <w:sz w:val="21"/>
          <w:szCs w:val="21"/>
          <w:highlight w:val="none"/>
        </w:rPr>
      </w:pPr>
      <w:r>
        <w:rPr>
          <w:rFonts w:hint="eastAsia" w:ascii="宋体" w:hAnsi="宋体"/>
          <w:color w:val="auto"/>
          <w:sz w:val="21"/>
          <w:szCs w:val="21"/>
          <w:highlight w:val="none"/>
        </w:rPr>
        <w:t>（五）</w:t>
      </w:r>
      <w:r>
        <w:rPr>
          <w:rFonts w:hint="eastAsia" w:ascii="宋体" w:hAnsi="宋体" w:cs="仿宋_GB2312"/>
          <w:color w:val="auto"/>
          <w:sz w:val="21"/>
          <w:szCs w:val="21"/>
          <w:highlight w:val="none"/>
        </w:rPr>
        <w:t>工程量清单计价相关事项依据</w:t>
      </w:r>
      <w:r>
        <w:rPr>
          <w:rFonts w:hint="eastAsia" w:ascii="宋体" w:hAnsi="宋体"/>
          <w:color w:val="auto"/>
          <w:sz w:val="21"/>
          <w:szCs w:val="21"/>
          <w:highlight w:val="none"/>
        </w:rPr>
        <w:t>《浙江省建设工程计价规则》（2018版）</w:t>
      </w:r>
      <w:r>
        <w:rPr>
          <w:rFonts w:hint="eastAsia" w:ascii="宋体" w:hAnsi="宋体" w:cs="仿宋_GB2312"/>
          <w:color w:val="auto"/>
          <w:sz w:val="21"/>
          <w:szCs w:val="21"/>
          <w:highlight w:val="none"/>
        </w:rPr>
        <w:t>实施。</w:t>
      </w:r>
    </w:p>
    <w:p>
      <w:pPr>
        <w:spacing w:line="360" w:lineRule="auto"/>
        <w:ind w:firstLine="420" w:firstLineChars="200"/>
        <w:rPr>
          <w:rFonts w:ascii="宋体" w:hAnsi="宋体" w:cs="仿宋_GB2312"/>
          <w:color w:val="auto"/>
          <w:sz w:val="21"/>
          <w:szCs w:val="21"/>
          <w:highlight w:val="none"/>
        </w:rPr>
      </w:pPr>
      <w:r>
        <w:rPr>
          <w:rFonts w:hint="eastAsia" w:ascii="宋体" w:hAnsi="宋体" w:cs="仿宋_GB2312"/>
          <w:color w:val="auto"/>
          <w:sz w:val="21"/>
          <w:szCs w:val="21"/>
          <w:highlight w:val="none"/>
        </w:rPr>
        <w:t>（六）投标人应根据工程的实际，结合现行安全文明施工规范、施工现场管理规定要求、扬尘污染防治标准、安全文明施工标化工地创建等要求，采取合理措施，进行相应报价。</w:t>
      </w:r>
    </w:p>
    <w:p>
      <w:pPr>
        <w:pStyle w:val="17"/>
        <w:rPr>
          <w:color w:val="auto"/>
          <w:sz w:val="21"/>
          <w:szCs w:val="21"/>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附：1.招标工程量清单封面（格式）</w:t>
      </w:r>
    </w:p>
    <w:p>
      <w:pPr>
        <w:pStyle w:val="15"/>
        <w:spacing w:line="360" w:lineRule="auto"/>
        <w:ind w:firstLine="525" w:firstLineChars="250"/>
        <w:rPr>
          <w:rFonts w:hAnsi="宋体"/>
          <w:color w:val="auto"/>
          <w:sz w:val="21"/>
          <w:szCs w:val="21"/>
          <w:highlight w:val="none"/>
        </w:rPr>
      </w:pPr>
      <w:r>
        <w:rPr>
          <w:rFonts w:hint="eastAsia" w:hAnsi="宋体"/>
          <w:color w:val="auto"/>
          <w:sz w:val="21"/>
          <w:szCs w:val="21"/>
          <w:highlight w:val="none"/>
        </w:rPr>
        <w:t xml:space="preserve">   2.招标工量清单扉页（格式）</w:t>
      </w:r>
    </w:p>
    <w:p>
      <w:pPr>
        <w:pStyle w:val="15"/>
        <w:spacing w:line="360" w:lineRule="auto"/>
        <w:ind w:firstLine="840" w:firstLineChars="400"/>
        <w:rPr>
          <w:rFonts w:hAnsi="宋体"/>
          <w:color w:val="auto"/>
          <w:sz w:val="21"/>
          <w:szCs w:val="21"/>
          <w:highlight w:val="none"/>
        </w:rPr>
      </w:pPr>
      <w:r>
        <w:rPr>
          <w:rFonts w:hint="eastAsia" w:hAnsi="宋体"/>
          <w:color w:val="auto"/>
          <w:sz w:val="21"/>
          <w:szCs w:val="21"/>
          <w:highlight w:val="none"/>
        </w:rPr>
        <w:t>3.招标工量清单编制说明（格式）</w:t>
      </w:r>
    </w:p>
    <w:p>
      <w:pPr>
        <w:pStyle w:val="15"/>
        <w:spacing w:line="360" w:lineRule="auto"/>
        <w:ind w:firstLine="735" w:firstLineChars="350"/>
        <w:rPr>
          <w:rFonts w:hAnsi="宋体"/>
          <w:color w:val="auto"/>
          <w:sz w:val="21"/>
          <w:szCs w:val="21"/>
          <w:highlight w:val="none"/>
        </w:rPr>
      </w:pPr>
      <w:r>
        <w:rPr>
          <w:rFonts w:hint="eastAsia" w:hAnsi="宋体"/>
          <w:color w:val="auto"/>
          <w:sz w:val="21"/>
          <w:szCs w:val="21"/>
          <w:highlight w:val="none"/>
        </w:rPr>
        <w:t xml:space="preserve"> 4.工程量清单格式详见投标文件商务标格式中的有关栏目（略）。</w:t>
      </w:r>
    </w:p>
    <w:p>
      <w:pPr>
        <w:widowControl/>
        <w:spacing w:before="100" w:beforeAutospacing="1" w:after="100" w:afterAutospacing="1" w:line="360" w:lineRule="auto"/>
        <w:rPr>
          <w:rFonts w:ascii="宋体" w:hAnsi="宋体"/>
          <w:color w:val="auto"/>
          <w:sz w:val="28"/>
          <w:szCs w:val="28"/>
          <w:highlight w:val="none"/>
        </w:rPr>
      </w:pPr>
      <w:r>
        <w:rPr>
          <w:color w:val="auto"/>
          <w:highlight w:val="none"/>
        </w:rPr>
        <w:br w:type="page"/>
      </w:r>
      <w:r>
        <w:rPr>
          <w:rFonts w:hint="eastAsia" w:ascii="宋体" w:hAnsi="宋体"/>
          <w:color w:val="auto"/>
          <w:sz w:val="28"/>
          <w:szCs w:val="28"/>
          <w:highlight w:val="none"/>
        </w:rPr>
        <w:t>附件1：</w:t>
      </w:r>
    </w:p>
    <w:p>
      <w:pPr>
        <w:widowControl/>
        <w:spacing w:before="100" w:beforeAutospacing="1" w:after="100" w:afterAutospacing="1"/>
        <w:ind w:firstLine="240" w:firstLineChars="100"/>
        <w:jc w:val="center"/>
        <w:rPr>
          <w:rFonts w:ascii="宋体" w:hAnsi="宋体"/>
          <w:color w:val="auto"/>
          <w:highlight w:val="none"/>
        </w:rPr>
      </w:pPr>
      <w:r>
        <w:rPr>
          <w:rFonts w:hint="eastAsia" w:ascii="宋体" w:hAnsi="宋体"/>
          <w:color w:val="auto"/>
          <w:highlight w:val="none"/>
        </w:rPr>
        <w:t>招标工程量清单封面</w:t>
      </w:r>
    </w:p>
    <w:tbl>
      <w:tblPr>
        <w:tblStyle w:val="1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hAnsi="宋体"/>
                <w:color w:val="auto"/>
                <w:highlight w:val="none"/>
              </w:rPr>
            </w:pPr>
          </w:p>
          <w:p>
            <w:pPr>
              <w:pStyle w:val="17"/>
              <w:rPr>
                <w:color w:val="auto"/>
                <w:highlight w:val="none"/>
              </w:rPr>
            </w:pPr>
          </w:p>
          <w:p>
            <w:pPr>
              <w:rPr>
                <w:color w:val="auto"/>
                <w:highlight w:val="none"/>
              </w:rPr>
            </w:pPr>
          </w:p>
          <w:p>
            <w:pPr>
              <w:pStyle w:val="17"/>
              <w:rPr>
                <w:color w:val="auto"/>
                <w:highlight w:val="none"/>
              </w:rPr>
            </w:pPr>
          </w:p>
          <w:p>
            <w:pPr>
              <w:jc w:val="center"/>
              <w:rPr>
                <w:color w:val="auto"/>
                <w:highlight w:val="none"/>
              </w:rPr>
            </w:pPr>
            <w:r>
              <w:rPr>
                <w:rFonts w:hint="eastAsia"/>
                <w:color w:val="auto"/>
                <w:sz w:val="28"/>
                <w:szCs w:val="28"/>
                <w:highlight w:val="none"/>
                <w:u w:val="single"/>
              </w:rPr>
              <w:t xml:space="preserve">                    </w:t>
            </w:r>
            <w:r>
              <w:rPr>
                <w:rFonts w:hint="eastAsia"/>
                <w:color w:val="auto"/>
                <w:sz w:val="28"/>
                <w:szCs w:val="28"/>
                <w:highlight w:val="none"/>
              </w:rPr>
              <w:t>工程</w:t>
            </w:r>
          </w:p>
          <w:p>
            <w:pPr>
              <w:pStyle w:val="17"/>
              <w:rPr>
                <w:color w:val="auto"/>
                <w:highlight w:val="none"/>
              </w:rPr>
            </w:pPr>
          </w:p>
          <w:p>
            <w:pPr>
              <w:rPr>
                <w:color w:val="auto"/>
                <w:highlight w:val="none"/>
              </w:rPr>
            </w:pPr>
          </w:p>
          <w:p>
            <w:pPr>
              <w:pStyle w:val="17"/>
              <w:rPr>
                <w:color w:val="auto"/>
                <w:highlight w:val="none"/>
              </w:rPr>
            </w:pPr>
            <w:r>
              <w:rPr>
                <w:rFonts w:hint="eastAsia"/>
                <w:color w:val="auto"/>
                <w:highlight w:val="none"/>
              </w:rPr>
              <w:t>招标工程量清单</w:t>
            </w: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ind w:firstLine="1800" w:firstLineChars="750"/>
              <w:rPr>
                <w:rFonts w:ascii="宋体" w:hAnsi="宋体"/>
                <w:color w:val="auto"/>
                <w:highlight w:val="none"/>
                <w:u w:val="single"/>
              </w:rPr>
            </w:pPr>
            <w:r>
              <w:rPr>
                <w:rFonts w:hint="eastAsia" w:ascii="宋体" w:hAnsi="宋体"/>
                <w:color w:val="auto"/>
                <w:highlight w:val="none"/>
              </w:rPr>
              <w:t>招标人：</w:t>
            </w:r>
            <w:r>
              <w:rPr>
                <w:rFonts w:hint="eastAsia" w:ascii="宋体" w:hAnsi="宋体"/>
                <w:color w:val="auto"/>
                <w:highlight w:val="none"/>
                <w:u w:val="single"/>
              </w:rPr>
              <w:t xml:space="preserve">                              </w:t>
            </w:r>
          </w:p>
          <w:p>
            <w:pPr>
              <w:pStyle w:val="17"/>
              <w:rPr>
                <w:color w:val="auto"/>
                <w:highlight w:val="none"/>
              </w:rPr>
            </w:pPr>
            <w:r>
              <w:rPr>
                <w:rFonts w:hint="eastAsia"/>
                <w:color w:val="auto"/>
                <w:highlight w:val="none"/>
              </w:rPr>
              <w:t>（单位盖章）</w:t>
            </w:r>
          </w:p>
          <w:p>
            <w:pPr>
              <w:jc w:val="center"/>
              <w:rPr>
                <w:rFonts w:ascii="宋体" w:hAnsi="宋体"/>
                <w:color w:val="auto"/>
                <w:highlight w:val="none"/>
              </w:rPr>
            </w:pPr>
          </w:p>
          <w:p>
            <w:pPr>
              <w:pStyle w:val="17"/>
              <w:rPr>
                <w:color w:val="auto"/>
                <w:highlight w:val="none"/>
              </w:rPr>
            </w:pPr>
          </w:p>
          <w:p>
            <w:pPr>
              <w:ind w:firstLine="1800" w:firstLineChars="750"/>
              <w:rPr>
                <w:rFonts w:ascii="宋体" w:hAnsi="宋体"/>
                <w:color w:val="auto"/>
                <w:highlight w:val="none"/>
                <w:u w:val="single"/>
              </w:rPr>
            </w:pPr>
            <w:r>
              <w:rPr>
                <w:rFonts w:hint="eastAsia" w:ascii="宋体" w:hAnsi="宋体"/>
                <w:color w:val="auto"/>
                <w:highlight w:val="none"/>
              </w:rPr>
              <w:t>造价咨询人：</w:t>
            </w:r>
            <w:r>
              <w:rPr>
                <w:rFonts w:hint="eastAsia" w:ascii="宋体" w:hAnsi="宋体"/>
                <w:color w:val="auto"/>
                <w:highlight w:val="none"/>
                <w:u w:val="single"/>
              </w:rPr>
              <w:t xml:space="preserve">                          </w:t>
            </w:r>
          </w:p>
          <w:p>
            <w:pPr>
              <w:pStyle w:val="17"/>
              <w:rPr>
                <w:color w:val="auto"/>
                <w:highlight w:val="none"/>
              </w:rPr>
            </w:pPr>
            <w:r>
              <w:rPr>
                <w:rFonts w:hint="eastAsia"/>
                <w:color w:val="auto"/>
                <w:highlight w:val="none"/>
              </w:rPr>
              <w:t>（单位盖章）</w:t>
            </w:r>
          </w:p>
          <w:p>
            <w:pPr>
              <w:rPr>
                <w:color w:val="auto"/>
                <w:highlight w:val="none"/>
              </w:rPr>
            </w:pPr>
          </w:p>
          <w:p>
            <w:pPr>
              <w:pStyle w:val="17"/>
              <w:rPr>
                <w:color w:val="auto"/>
                <w:highlight w:val="none"/>
              </w:rPr>
            </w:pPr>
          </w:p>
          <w:p>
            <w:pPr>
              <w:pStyle w:val="17"/>
              <w:rPr>
                <w:color w:val="auto"/>
                <w:highlight w:val="none"/>
              </w:rPr>
            </w:pPr>
            <w:r>
              <w:rPr>
                <w:rFonts w:hint="eastAsia"/>
                <w:color w:val="auto"/>
                <w:highlight w:val="none"/>
              </w:rPr>
              <w:t xml:space="preserve">  年    月    日</w:t>
            </w:r>
          </w:p>
          <w:p>
            <w:pPr>
              <w:rPr>
                <w:color w:val="auto"/>
                <w:highlight w:val="none"/>
              </w:rPr>
            </w:pPr>
          </w:p>
        </w:tc>
      </w:tr>
    </w:tbl>
    <w:p>
      <w:pPr>
        <w:widowControl/>
        <w:spacing w:before="100" w:beforeAutospacing="1" w:after="100" w:afterAutospacing="1" w:line="360" w:lineRule="auto"/>
        <w:rPr>
          <w:rFonts w:ascii="宋体" w:hAnsi="宋体"/>
          <w:color w:val="auto"/>
          <w:sz w:val="28"/>
          <w:szCs w:val="28"/>
          <w:highlight w:val="none"/>
        </w:rPr>
      </w:pPr>
    </w:p>
    <w:p>
      <w:pPr>
        <w:pStyle w:val="11"/>
        <w:ind w:firstLine="210"/>
        <w:rPr>
          <w:color w:val="auto"/>
          <w:highlight w:val="none"/>
        </w:rPr>
      </w:pPr>
    </w:p>
    <w:p>
      <w:pPr>
        <w:widowControl/>
        <w:spacing w:before="100" w:beforeAutospacing="1" w:after="100" w:afterAutospacing="1" w:line="360" w:lineRule="auto"/>
        <w:rPr>
          <w:rFonts w:ascii="宋体" w:hAnsi="宋体"/>
          <w:color w:val="auto"/>
          <w:sz w:val="28"/>
          <w:szCs w:val="28"/>
          <w:highlight w:val="none"/>
        </w:rPr>
      </w:pPr>
      <w:r>
        <w:rPr>
          <w:rFonts w:hint="eastAsia" w:ascii="宋体" w:hAnsi="宋体"/>
          <w:color w:val="auto"/>
          <w:sz w:val="28"/>
          <w:szCs w:val="28"/>
          <w:highlight w:val="none"/>
        </w:rPr>
        <w:t>附件2：</w:t>
      </w:r>
    </w:p>
    <w:p>
      <w:pPr>
        <w:widowControl/>
        <w:spacing w:before="100" w:beforeAutospacing="1" w:after="100" w:afterAutospacing="1"/>
        <w:ind w:firstLine="240" w:firstLineChars="100"/>
        <w:jc w:val="center"/>
        <w:rPr>
          <w:rFonts w:ascii="宋体" w:hAnsi="宋体"/>
          <w:color w:val="auto"/>
          <w:highlight w:val="none"/>
        </w:rPr>
      </w:pPr>
      <w:r>
        <w:rPr>
          <w:rFonts w:hint="eastAsia" w:ascii="宋体" w:hAnsi="宋体"/>
          <w:color w:val="auto"/>
          <w:highlight w:val="none"/>
        </w:rPr>
        <w:t>招标工程量清单扉页</w:t>
      </w:r>
    </w:p>
    <w:tbl>
      <w:tblPr>
        <w:tblStyle w:val="1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pStyle w:val="17"/>
              <w:rPr>
                <w:color w:val="auto"/>
                <w:highlight w:val="none"/>
              </w:rPr>
            </w:pPr>
          </w:p>
          <w:p>
            <w:pPr>
              <w:pStyle w:val="17"/>
              <w:rPr>
                <w:color w:val="auto"/>
                <w:highlight w:val="none"/>
              </w:rPr>
            </w:pPr>
          </w:p>
          <w:p>
            <w:pPr>
              <w:pStyle w:val="17"/>
              <w:rPr>
                <w:color w:val="auto"/>
                <w:highlight w:val="none"/>
              </w:rPr>
            </w:pPr>
            <w:r>
              <w:rPr>
                <w:rFonts w:hint="eastAsia"/>
                <w:b w:val="0"/>
                <w:bCs/>
                <w:color w:val="auto"/>
                <w:sz w:val="28"/>
                <w:szCs w:val="28"/>
                <w:highlight w:val="none"/>
                <w:u w:val="single"/>
              </w:rPr>
              <w:t xml:space="preserve">                  </w:t>
            </w:r>
            <w:r>
              <w:rPr>
                <w:color w:val="auto"/>
                <w:sz w:val="28"/>
                <w:szCs w:val="28"/>
                <w:highlight w:val="none"/>
              </w:rPr>
              <w:t>工程</w:t>
            </w:r>
          </w:p>
          <w:p>
            <w:pPr>
              <w:pStyle w:val="17"/>
              <w:rPr>
                <w:color w:val="auto"/>
                <w:highlight w:val="none"/>
              </w:rPr>
            </w:pPr>
          </w:p>
          <w:p>
            <w:pPr>
              <w:pStyle w:val="17"/>
              <w:rPr>
                <w:color w:val="auto"/>
                <w:highlight w:val="none"/>
              </w:rPr>
            </w:pPr>
          </w:p>
          <w:p>
            <w:pPr>
              <w:pStyle w:val="17"/>
              <w:rPr>
                <w:color w:val="auto"/>
                <w:highlight w:val="none"/>
              </w:rPr>
            </w:pPr>
            <w:r>
              <w:rPr>
                <w:rFonts w:hint="eastAsia"/>
                <w:color w:val="auto"/>
                <w:highlight w:val="none"/>
              </w:rPr>
              <w:t>招标工程量清单</w:t>
            </w:r>
          </w:p>
          <w:p>
            <w:pPr>
              <w:pStyle w:val="17"/>
              <w:rPr>
                <w:color w:val="auto"/>
                <w:highlight w:val="none"/>
              </w:rPr>
            </w:pPr>
          </w:p>
          <w:p>
            <w:pPr>
              <w:pStyle w:val="17"/>
              <w:rPr>
                <w:color w:val="auto"/>
                <w:highlight w:val="none"/>
              </w:rPr>
            </w:pPr>
          </w:p>
          <w:p>
            <w:pPr>
              <w:pStyle w:val="17"/>
              <w:ind w:firstLine="826" w:firstLineChars="343"/>
              <w:jc w:val="left"/>
              <w:rPr>
                <w:b w:val="0"/>
                <w:bCs/>
                <w:color w:val="auto"/>
                <w:highlight w:val="none"/>
                <w:u w:val="single"/>
              </w:rPr>
            </w:pPr>
            <w:r>
              <w:rPr>
                <w:color w:val="auto"/>
                <w:highlight w:val="none"/>
              </w:rPr>
              <w:t>招标人：</w:t>
            </w:r>
            <w:r>
              <w:rPr>
                <w:rFonts w:hint="eastAsia"/>
                <w:b w:val="0"/>
                <w:bCs/>
                <w:color w:val="auto"/>
                <w:highlight w:val="none"/>
                <w:u w:val="single"/>
              </w:rPr>
              <w:t xml:space="preserve">                    </w:t>
            </w:r>
            <w:r>
              <w:rPr>
                <w:rFonts w:hint="eastAsia" w:cs="宋体"/>
                <w:color w:val="auto"/>
                <w:highlight w:val="none"/>
              </w:rPr>
              <w:t>造价咨询人：</w:t>
            </w:r>
            <w:r>
              <w:rPr>
                <w:rFonts w:hint="eastAsia" w:cs="宋体"/>
                <w:b w:val="0"/>
                <w:bCs/>
                <w:color w:val="auto"/>
                <w:highlight w:val="none"/>
                <w:u w:val="single"/>
              </w:rPr>
              <w:t xml:space="preserve">                  </w:t>
            </w:r>
          </w:p>
          <w:p>
            <w:pPr>
              <w:pStyle w:val="17"/>
              <w:rPr>
                <w:color w:val="auto"/>
                <w:highlight w:val="none"/>
              </w:rPr>
            </w:pPr>
            <w:r>
              <w:rPr>
                <w:rFonts w:hint="eastAsia"/>
                <w:color w:val="auto"/>
                <w:highlight w:val="none"/>
              </w:rPr>
              <w:t>（单位盖章）                  （单位盖章）</w:t>
            </w:r>
          </w:p>
          <w:p>
            <w:pPr>
              <w:pStyle w:val="17"/>
              <w:rPr>
                <w:color w:val="auto"/>
                <w:highlight w:val="none"/>
              </w:rPr>
            </w:pPr>
          </w:p>
          <w:p>
            <w:pPr>
              <w:pStyle w:val="17"/>
              <w:ind w:firstLine="964" w:firstLineChars="400"/>
              <w:jc w:val="left"/>
              <w:rPr>
                <w:rFonts w:eastAsia="等线"/>
                <w:color w:val="auto"/>
                <w:highlight w:val="none"/>
              </w:rPr>
            </w:pPr>
            <w:r>
              <w:rPr>
                <w:color w:val="auto"/>
                <w:highlight w:val="none"/>
              </w:rPr>
              <w:t>法定代表人</w:t>
            </w:r>
            <w:r>
              <w:rPr>
                <w:rFonts w:hint="eastAsia"/>
                <w:color w:val="auto"/>
                <w:highlight w:val="none"/>
              </w:rPr>
              <w:t xml:space="preserve">                   </w:t>
            </w:r>
            <w:r>
              <w:rPr>
                <w:color w:val="auto"/>
                <w:highlight w:val="none"/>
              </w:rPr>
              <w:t>法定代表人</w:t>
            </w:r>
          </w:p>
          <w:p>
            <w:pPr>
              <w:pStyle w:val="17"/>
              <w:ind w:firstLine="964" w:firstLineChars="400"/>
              <w:jc w:val="left"/>
              <w:rPr>
                <w:color w:val="auto"/>
                <w:highlight w:val="none"/>
                <w:u w:val="single"/>
              </w:rPr>
            </w:pPr>
            <w:r>
              <w:rPr>
                <w:color w:val="auto"/>
                <w:highlight w:val="none"/>
              </w:rPr>
              <w:t>或其授权人</w:t>
            </w:r>
            <w:r>
              <w:rPr>
                <w:color w:val="auto"/>
                <w:highlight w:val="none"/>
                <w:u w:val="single"/>
              </w:rPr>
              <w:t>：</w:t>
            </w:r>
            <w:r>
              <w:rPr>
                <w:rFonts w:hint="eastAsia"/>
                <w:color w:val="auto"/>
                <w:highlight w:val="none"/>
                <w:u w:val="single"/>
              </w:rPr>
              <w:t xml:space="preserve">                 </w:t>
            </w:r>
            <w:r>
              <w:rPr>
                <w:rFonts w:hint="eastAsia" w:cs="宋体"/>
                <w:color w:val="auto"/>
                <w:highlight w:val="none"/>
              </w:rPr>
              <w:t>或其授权人：</w:t>
            </w:r>
            <w:r>
              <w:rPr>
                <w:rFonts w:hint="eastAsia" w:cs="宋体"/>
                <w:color w:val="auto"/>
                <w:highlight w:val="none"/>
                <w:u w:val="single"/>
              </w:rPr>
              <w:t xml:space="preserve">                </w:t>
            </w:r>
          </w:p>
          <w:p>
            <w:pPr>
              <w:pStyle w:val="17"/>
              <w:rPr>
                <w:color w:val="auto"/>
                <w:highlight w:val="none"/>
              </w:rPr>
            </w:pPr>
            <w:r>
              <w:rPr>
                <w:rFonts w:hint="eastAsia"/>
                <w:color w:val="auto"/>
                <w:highlight w:val="none"/>
              </w:rPr>
              <w:t>（签字或盖章）                  （签字或盖章）</w:t>
            </w:r>
          </w:p>
          <w:p>
            <w:pPr>
              <w:pStyle w:val="17"/>
              <w:rPr>
                <w:color w:val="auto"/>
                <w:highlight w:val="none"/>
              </w:rPr>
            </w:pPr>
          </w:p>
          <w:p>
            <w:pPr>
              <w:pStyle w:val="17"/>
              <w:rPr>
                <w:color w:val="auto"/>
                <w:highlight w:val="none"/>
              </w:rPr>
            </w:pPr>
          </w:p>
          <w:p>
            <w:pPr>
              <w:pStyle w:val="17"/>
              <w:ind w:firstLine="708" w:firstLineChars="294"/>
              <w:jc w:val="left"/>
              <w:rPr>
                <w:color w:val="auto"/>
                <w:highlight w:val="none"/>
                <w:u w:val="single"/>
              </w:rPr>
            </w:pPr>
            <w:r>
              <w:rPr>
                <w:color w:val="auto"/>
                <w:highlight w:val="none"/>
              </w:rPr>
              <w:t>编制人：</w:t>
            </w:r>
            <w:r>
              <w:rPr>
                <w:rFonts w:hint="eastAsia"/>
                <w:color w:val="auto"/>
                <w:highlight w:val="none"/>
                <w:u w:val="single"/>
              </w:rPr>
              <w:t xml:space="preserve">                        </w:t>
            </w:r>
            <w:r>
              <w:rPr>
                <w:rFonts w:hint="eastAsia" w:cs="宋体"/>
                <w:color w:val="auto"/>
                <w:highlight w:val="none"/>
              </w:rPr>
              <w:t>复核人：</w:t>
            </w:r>
            <w:r>
              <w:rPr>
                <w:rFonts w:hint="eastAsia" w:cs="宋体"/>
                <w:color w:val="auto"/>
                <w:highlight w:val="none"/>
                <w:u w:val="single"/>
              </w:rPr>
              <w:t xml:space="preserve">                     </w:t>
            </w:r>
          </w:p>
          <w:p>
            <w:pPr>
              <w:pStyle w:val="17"/>
              <w:rPr>
                <w:color w:val="auto"/>
                <w:highlight w:val="none"/>
              </w:rPr>
            </w:pPr>
            <w:r>
              <w:rPr>
                <w:rFonts w:hint="eastAsia"/>
                <w:color w:val="auto"/>
                <w:highlight w:val="none"/>
              </w:rPr>
              <w:t>（造价工程师签字盖专用章）          （造价工程师签字盖专用章）</w:t>
            </w:r>
          </w:p>
          <w:p>
            <w:pPr>
              <w:ind w:firstLine="600" w:firstLineChars="250"/>
              <w:rPr>
                <w:color w:val="auto"/>
                <w:highlight w:val="none"/>
              </w:rPr>
            </w:pPr>
            <w:r>
              <w:rPr>
                <w:rFonts w:hint="eastAsia" w:ascii="宋体" w:hAnsi="宋体"/>
                <w:color w:val="auto"/>
                <w:highlight w:val="none"/>
              </w:rPr>
              <w:t>编制时间：  年   月   日                编制时间：  年   月   日</w:t>
            </w:r>
          </w:p>
        </w:tc>
      </w:tr>
    </w:tbl>
    <w:p>
      <w:pPr>
        <w:widowControl/>
        <w:spacing w:before="100" w:beforeAutospacing="1" w:after="100" w:afterAutospacing="1" w:line="360" w:lineRule="auto"/>
        <w:rPr>
          <w:rFonts w:ascii="宋体" w:hAnsi="宋体"/>
          <w:color w:val="auto"/>
          <w:sz w:val="28"/>
          <w:szCs w:val="28"/>
          <w:highlight w:val="none"/>
        </w:rPr>
      </w:pPr>
    </w:p>
    <w:p>
      <w:pPr>
        <w:pStyle w:val="11"/>
        <w:ind w:firstLine="210"/>
        <w:rPr>
          <w:color w:val="auto"/>
          <w:highlight w:val="none"/>
        </w:rPr>
      </w:pPr>
    </w:p>
    <w:p>
      <w:pPr>
        <w:widowControl/>
        <w:spacing w:before="100" w:beforeAutospacing="1" w:after="100" w:afterAutospacing="1" w:line="360" w:lineRule="auto"/>
        <w:rPr>
          <w:rFonts w:ascii="宋体" w:hAnsi="宋体"/>
          <w:color w:val="auto"/>
          <w:sz w:val="28"/>
          <w:szCs w:val="28"/>
          <w:highlight w:val="none"/>
        </w:rPr>
      </w:pPr>
      <w:r>
        <w:rPr>
          <w:rFonts w:hint="eastAsia" w:ascii="宋体" w:hAnsi="宋体"/>
          <w:color w:val="auto"/>
          <w:sz w:val="28"/>
          <w:szCs w:val="28"/>
          <w:highlight w:val="none"/>
        </w:rPr>
        <w:t>附件3：</w:t>
      </w:r>
    </w:p>
    <w:p>
      <w:pPr>
        <w:pStyle w:val="17"/>
        <w:rPr>
          <w:color w:val="auto"/>
          <w:highlight w:val="none"/>
        </w:rPr>
      </w:pPr>
      <w:r>
        <w:rPr>
          <w:rFonts w:hint="eastAsia"/>
          <w:color w:val="auto"/>
          <w:highlight w:val="none"/>
        </w:rPr>
        <w:t>编制说明</w:t>
      </w:r>
    </w:p>
    <w:p>
      <w:pPr>
        <w:widowControl/>
        <w:rPr>
          <w:rFonts w:ascii="宋体" w:hAnsi="宋体"/>
          <w:color w:val="auto"/>
          <w:sz w:val="21"/>
          <w:szCs w:val="21"/>
          <w:highlight w:val="none"/>
        </w:rPr>
      </w:pPr>
      <w:r>
        <w:rPr>
          <w:rFonts w:hint="eastAsia" w:ascii="宋体" w:hAnsi="宋体"/>
          <w:color w:val="auto"/>
          <w:sz w:val="21"/>
          <w:szCs w:val="21"/>
          <w:highlight w:val="none"/>
        </w:rPr>
        <w:t>工程名称：</w:t>
      </w:r>
      <w:r>
        <w:rPr>
          <w:rFonts w:hint="eastAsia" w:ascii="仿宋" w:hAnsi="仿宋" w:eastAsia="宋体" w:cs="Times New Roman"/>
          <w:color w:val="auto"/>
          <w:sz w:val="21"/>
          <w:szCs w:val="21"/>
          <w:highlight w:val="none"/>
        </w:rPr>
        <w:t xml:space="preserve"> </w:t>
      </w:r>
      <w:r>
        <w:rPr>
          <w:rFonts w:hint="eastAsia" w:ascii="仿宋" w:hAnsi="仿宋" w:cs="Times New Roman"/>
          <w:color w:val="auto"/>
          <w:sz w:val="21"/>
          <w:szCs w:val="21"/>
          <w:highlight w:val="none"/>
          <w:lang w:eastAsia="zh-CN"/>
        </w:rPr>
        <w:t>越城区鉴湖街道C-12地块城市有机更新工程</w:t>
      </w:r>
      <w:r>
        <w:rPr>
          <w:rFonts w:hint="eastAsia" w:ascii="仿宋" w:hAnsi="仿宋" w:eastAsia="宋体" w:cs="Times New Roman"/>
          <w:color w:val="auto"/>
          <w:sz w:val="21"/>
          <w:szCs w:val="21"/>
          <w:highlight w:val="none"/>
        </w:rPr>
        <w:t xml:space="preserve"> </w:t>
      </w:r>
      <w:r>
        <w:rPr>
          <w:rFonts w:hint="eastAsia" w:ascii="宋体" w:hAnsi="宋体"/>
          <w:color w:val="auto"/>
          <w:sz w:val="21"/>
          <w:szCs w:val="21"/>
          <w:highlight w:val="none"/>
        </w:rPr>
        <w:t xml:space="preserve">            第   页 共   页</w:t>
      </w:r>
    </w:p>
    <w:tbl>
      <w:tblPr>
        <w:tblStyle w:val="1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autoSpaceDE/>
              <w:autoSpaceDN/>
              <w:adjustRightInd/>
              <w:spacing w:line="360" w:lineRule="auto"/>
              <w:jc w:val="both"/>
              <w:rPr>
                <w:rFonts w:hint="eastAsia" w:ascii="宋体" w:hAnsi="宋体" w:eastAsia="宋体" w:cs="Times New Roman"/>
                <w:b/>
                <w:kern w:val="2"/>
                <w:sz w:val="21"/>
                <w:szCs w:val="21"/>
              </w:rPr>
            </w:pPr>
            <w:r>
              <w:rPr>
                <w:rFonts w:hint="eastAsia" w:ascii="宋体" w:hAnsi="宋体" w:eastAsia="宋体" w:cs="Times New Roman"/>
                <w:b/>
                <w:kern w:val="2"/>
                <w:sz w:val="21"/>
                <w:szCs w:val="21"/>
              </w:rPr>
              <w:t xml:space="preserve">一、工程概况： </w:t>
            </w:r>
          </w:p>
          <w:p>
            <w:pPr>
              <w:numPr>
                <w:ilvl w:val="0"/>
                <w:numId w:val="36"/>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工程名称：越城区鉴湖街道C-12地块城市有机更新工程</w:t>
            </w:r>
          </w:p>
          <w:p>
            <w:pPr>
              <w:numPr>
                <w:ilvl w:val="0"/>
                <w:numId w:val="36"/>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工程地点：绍兴市越城区。</w:t>
            </w:r>
          </w:p>
          <w:p>
            <w:pPr>
              <w:numPr>
                <w:ilvl w:val="0"/>
                <w:numId w:val="36"/>
              </w:numPr>
              <w:tabs>
                <w:tab w:val="left" w:pos="540"/>
              </w:tabs>
              <w:autoSpaceDE/>
              <w:autoSpaceDN/>
              <w:adjustRightInd/>
              <w:spacing w:line="360" w:lineRule="auto"/>
              <w:ind w:left="0" w:leftChars="0" w:firstLine="283" w:firstLineChars="0"/>
              <w:jc w:val="both"/>
              <w:rPr>
                <w:rFonts w:hint="eastAsia" w:ascii="宋体" w:hAnsi="宋体" w:eastAsia="宋体" w:cs="Times New Roman"/>
                <w:color w:val="auto"/>
                <w:kern w:val="2"/>
                <w:sz w:val="21"/>
                <w:szCs w:val="21"/>
              </w:rPr>
            </w:pPr>
            <w:r>
              <w:rPr>
                <w:rFonts w:ascii="宋体" w:hAnsi="宋体" w:eastAsia="宋体" w:cs="宋体"/>
                <w:color w:val="auto"/>
                <w:kern w:val="1"/>
                <w:sz w:val="21"/>
                <w:szCs w:val="21"/>
              </w:rPr>
              <w:t>建设规模及主要内容：</w:t>
            </w:r>
            <w:r>
              <w:rPr>
                <w:rFonts w:hint="eastAsia" w:ascii="宋体" w:hAnsi="宋体" w:eastAsia="宋体" w:cs="Times New Roman"/>
                <w:color w:val="auto"/>
                <w:kern w:val="2"/>
                <w:sz w:val="21"/>
                <w:szCs w:val="21"/>
              </w:rPr>
              <w:t>建筑面积约</w:t>
            </w:r>
            <w:r>
              <w:rPr>
                <w:rFonts w:hint="eastAsia" w:ascii="宋体" w:hAnsi="宋体" w:eastAsia="宋体" w:cs="Times New Roman"/>
                <w:color w:val="auto"/>
                <w:kern w:val="2"/>
                <w:sz w:val="21"/>
                <w:szCs w:val="21"/>
                <w:lang w:val="en-US" w:eastAsia="zh-CN"/>
              </w:rPr>
              <w:t>102841.7</w:t>
            </w:r>
            <w:r>
              <w:rPr>
                <w:rFonts w:hint="eastAsia" w:ascii="宋体" w:hAnsi="宋体" w:eastAsia="宋体" w:cs="Times New Roman"/>
                <w:color w:val="auto"/>
                <w:kern w:val="2"/>
                <w:sz w:val="21"/>
                <w:szCs w:val="21"/>
              </w:rPr>
              <w:t>平方米，其中地上建筑面积约</w:t>
            </w:r>
            <w:r>
              <w:rPr>
                <w:rFonts w:hint="eastAsia" w:ascii="宋体" w:hAnsi="宋体" w:eastAsia="宋体" w:cs="Times New Roman"/>
                <w:color w:val="auto"/>
                <w:kern w:val="2"/>
                <w:sz w:val="21"/>
                <w:szCs w:val="21"/>
                <w:lang w:val="en-US" w:eastAsia="zh-CN"/>
              </w:rPr>
              <w:t>71950.32</w:t>
            </w:r>
            <w:r>
              <w:rPr>
                <w:rFonts w:hint="eastAsia" w:ascii="宋体" w:hAnsi="宋体" w:eastAsia="宋体" w:cs="Times New Roman"/>
                <w:color w:val="auto"/>
                <w:kern w:val="2"/>
                <w:sz w:val="21"/>
                <w:szCs w:val="21"/>
              </w:rPr>
              <w:t>平方米</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rPr>
              <w:t>地下建筑面积约</w:t>
            </w:r>
            <w:r>
              <w:rPr>
                <w:rFonts w:hint="eastAsia" w:ascii="宋体" w:hAnsi="宋体" w:eastAsia="宋体" w:cs="Times New Roman"/>
                <w:color w:val="auto"/>
                <w:kern w:val="2"/>
                <w:sz w:val="21"/>
                <w:szCs w:val="21"/>
                <w:lang w:val="en-US" w:eastAsia="zh-CN"/>
              </w:rPr>
              <w:t>30891.38</w:t>
            </w:r>
            <w:r>
              <w:rPr>
                <w:rFonts w:hint="eastAsia" w:ascii="宋体" w:hAnsi="宋体" w:eastAsia="宋体" w:cs="Times New Roman"/>
                <w:color w:val="auto"/>
                <w:kern w:val="2"/>
                <w:sz w:val="21"/>
                <w:szCs w:val="21"/>
              </w:rPr>
              <w:t>平方米，地下</w:t>
            </w:r>
            <w:r>
              <w:rPr>
                <w:rFonts w:hint="eastAsia" w:ascii="宋体" w:hAnsi="宋体" w:eastAsia="宋体" w:cs="Times New Roman"/>
                <w:color w:val="auto"/>
                <w:kern w:val="2"/>
                <w:sz w:val="21"/>
                <w:szCs w:val="21"/>
                <w:lang w:val="en-US" w:eastAsia="zh-CN"/>
              </w:rPr>
              <w:t>1</w:t>
            </w:r>
            <w:r>
              <w:rPr>
                <w:rFonts w:hint="eastAsia" w:ascii="宋体" w:hAnsi="宋体" w:eastAsia="宋体" w:cs="Times New Roman"/>
                <w:color w:val="auto"/>
                <w:kern w:val="2"/>
                <w:sz w:val="21"/>
                <w:szCs w:val="21"/>
              </w:rPr>
              <w:t>层。本工程为混凝土结构装配式建筑，装配率不低于50%。</w:t>
            </w:r>
          </w:p>
          <w:p>
            <w:pPr>
              <w:autoSpaceDE/>
              <w:autoSpaceDN/>
              <w:adjustRightInd/>
              <w:spacing w:line="360" w:lineRule="auto"/>
              <w:jc w:val="both"/>
              <w:rPr>
                <w:rFonts w:hint="eastAsia" w:ascii="宋体" w:hAnsi="宋体" w:eastAsia="宋体" w:cs="Times New Roman"/>
                <w:kern w:val="2"/>
                <w:sz w:val="21"/>
                <w:szCs w:val="21"/>
                <w:lang w:eastAsia="zh-CN"/>
              </w:rPr>
            </w:pPr>
            <w:r>
              <w:rPr>
                <w:rFonts w:hint="eastAsia" w:ascii="宋体" w:hAnsi="宋体" w:eastAsia="宋体" w:cs="Times New Roman"/>
                <w:color w:val="auto"/>
                <w:kern w:val="2"/>
                <w:sz w:val="21"/>
                <w:szCs w:val="21"/>
              </w:rPr>
              <w:t>二、</w:t>
            </w:r>
            <w:r>
              <w:rPr>
                <w:rFonts w:hint="eastAsia" w:ascii="宋体" w:hAnsi="宋体" w:eastAsia="宋体" w:cs="Times New Roman"/>
                <w:b/>
                <w:color w:val="auto"/>
                <w:kern w:val="2"/>
                <w:sz w:val="21"/>
                <w:szCs w:val="21"/>
              </w:rPr>
              <w:t>编标范围：</w:t>
            </w:r>
            <w:r>
              <w:rPr>
                <w:rFonts w:hint="eastAsia" w:ascii="宋体" w:hAnsi="宋体" w:eastAsia="宋体" w:cs="Times New Roman"/>
                <w:color w:val="auto"/>
                <w:kern w:val="2"/>
                <w:sz w:val="21"/>
                <w:szCs w:val="21"/>
              </w:rPr>
              <w:t>包括本工程施工图范围内</w:t>
            </w:r>
            <w:r>
              <w:rPr>
                <w:rFonts w:hint="eastAsia" w:ascii="宋体" w:hAnsi="宋体" w:eastAsia="宋体" w:cs="Times New Roman"/>
                <w:color w:val="auto"/>
                <w:kern w:val="2"/>
                <w:sz w:val="21"/>
                <w:szCs w:val="21"/>
                <w:lang w:val="en-US" w:eastAsia="zh-CN"/>
              </w:rPr>
              <w:t>主体土方工程、基坑支护工程、桩基工程、建筑结构工程、装饰装修工程、1#-11#及门廊的外立面石材幕墙、铝板幕墙、雨蓬及百叶格栅等幕墙工程、给排水工程、消防工程、暖通工程、强电工程、弱电工程、室外总体配套工程（景观绿化、道路广场、室外电气、室外给排水管网、雨水回用、围墙、大门等）</w:t>
            </w:r>
            <w:r>
              <w:rPr>
                <w:rFonts w:hint="eastAsia" w:ascii="宋体" w:hAnsi="宋体" w:eastAsia="宋体" w:cs="Times New Roman"/>
                <w:color w:val="auto"/>
                <w:kern w:val="2"/>
                <w:sz w:val="21"/>
                <w:szCs w:val="21"/>
              </w:rPr>
              <w:t>。具体内容详见施工图及标底</w:t>
            </w:r>
            <w:r>
              <w:rPr>
                <w:rFonts w:hint="eastAsia" w:ascii="宋体" w:hAnsi="宋体" w:eastAsia="宋体" w:cs="Times New Roman"/>
                <w:color w:val="auto"/>
                <w:kern w:val="2"/>
                <w:sz w:val="21"/>
                <w:szCs w:val="21"/>
                <w:lang w:eastAsia="zh-CN"/>
              </w:rPr>
              <w:t>。</w:t>
            </w:r>
          </w:p>
          <w:p>
            <w:pPr>
              <w:autoSpaceDE/>
              <w:autoSpaceDN/>
              <w:adjustRightInd/>
              <w:spacing w:line="360" w:lineRule="auto"/>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三、</w:t>
            </w:r>
            <w:r>
              <w:rPr>
                <w:rFonts w:hint="eastAsia" w:ascii="宋体" w:hAnsi="宋体" w:eastAsia="宋体" w:cs="Times New Roman"/>
                <w:b/>
                <w:kern w:val="2"/>
                <w:sz w:val="21"/>
                <w:szCs w:val="21"/>
              </w:rPr>
              <w:t>工程质量、工期、安全、材料等要求：</w:t>
            </w:r>
            <w:r>
              <w:rPr>
                <w:rFonts w:hint="eastAsia" w:ascii="宋体" w:hAnsi="宋体" w:eastAsia="宋体" w:cs="Times New Roman"/>
                <w:kern w:val="2"/>
                <w:sz w:val="21"/>
                <w:szCs w:val="21"/>
              </w:rPr>
              <w:t>详见招标文件。</w:t>
            </w:r>
          </w:p>
          <w:p>
            <w:pPr>
              <w:autoSpaceDE/>
              <w:autoSpaceDN/>
              <w:adjustRightInd/>
              <w:spacing w:line="360" w:lineRule="auto"/>
              <w:jc w:val="both"/>
              <w:rPr>
                <w:rFonts w:hint="eastAsia" w:ascii="Times New Roman" w:hAnsi="Times New Roman" w:eastAsia="宋体" w:cs="Times New Roman"/>
                <w:kern w:val="2"/>
                <w:sz w:val="24"/>
              </w:rPr>
            </w:pPr>
            <w:r>
              <w:rPr>
                <w:rFonts w:hint="eastAsia" w:ascii="宋体" w:hAnsi="宋体" w:eastAsia="宋体" w:cs="Times New Roman"/>
                <w:kern w:val="2"/>
                <w:sz w:val="21"/>
                <w:szCs w:val="21"/>
              </w:rPr>
              <w:t>四、</w:t>
            </w:r>
            <w:r>
              <w:rPr>
                <w:rFonts w:hint="eastAsia" w:ascii="宋体" w:hAnsi="宋体" w:eastAsia="宋体" w:cs="Times New Roman"/>
                <w:b/>
                <w:kern w:val="2"/>
                <w:sz w:val="21"/>
                <w:szCs w:val="21"/>
              </w:rPr>
              <w:t>工程</w:t>
            </w:r>
            <w:r>
              <w:rPr>
                <w:rFonts w:hint="eastAsia" w:ascii="宋体" w:hAnsi="宋体" w:eastAsia="宋体" w:cs="Times New Roman"/>
                <w:b/>
                <w:kern w:val="2"/>
                <w:sz w:val="21"/>
                <w:szCs w:val="21"/>
                <w:lang w:val="en-US" w:eastAsia="zh-CN"/>
              </w:rPr>
              <w:t>标底</w:t>
            </w:r>
            <w:r>
              <w:rPr>
                <w:rFonts w:hint="eastAsia" w:ascii="宋体" w:hAnsi="宋体" w:eastAsia="宋体" w:cs="Times New Roman"/>
                <w:b/>
                <w:kern w:val="2"/>
                <w:sz w:val="21"/>
                <w:szCs w:val="21"/>
              </w:rPr>
              <w:t>编制依据及口径</w:t>
            </w:r>
            <w:r>
              <w:rPr>
                <w:rFonts w:hint="eastAsia" w:ascii="宋体" w:hAnsi="宋体" w:eastAsia="宋体" w:cs="Times New Roman"/>
                <w:kern w:val="2"/>
                <w:sz w:val="21"/>
                <w:szCs w:val="21"/>
              </w:rPr>
              <w:t>：</w:t>
            </w:r>
          </w:p>
          <w:p>
            <w:pPr>
              <w:tabs>
                <w:tab w:val="left" w:pos="1800"/>
              </w:tabs>
              <w:autoSpaceDE/>
              <w:autoSpaceDN/>
              <w:adjustRightInd/>
              <w:spacing w:line="360" w:lineRule="auto"/>
              <w:jc w:val="both"/>
              <w:rPr>
                <w:rFonts w:hint="eastAsia" w:ascii="宋体" w:hAnsi="宋体" w:eastAsia="宋体" w:cs="Times New Roman"/>
                <w:kern w:val="2"/>
                <w:sz w:val="21"/>
                <w:szCs w:val="21"/>
              </w:rPr>
            </w:pPr>
            <w:r>
              <w:rPr>
                <w:rFonts w:hint="eastAsia" w:ascii="宋体" w:hAnsi="宋体" w:eastAsia="宋体" w:cs="Times New Roman"/>
                <w:b/>
                <w:kern w:val="2"/>
                <w:sz w:val="21"/>
                <w:szCs w:val="21"/>
              </w:rPr>
              <w:t>（一）工程量：</w:t>
            </w:r>
          </w:p>
          <w:p>
            <w:pPr>
              <w:numPr>
                <w:ilvl w:val="0"/>
                <w:numId w:val="37"/>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绍兴市越城区城市发展建设集团有限公司提供的，由浙江中和建筑设计有限公司提供的施工图，出图日期202</w:t>
            </w:r>
            <w:r>
              <w:rPr>
                <w:rFonts w:hint="eastAsia" w:ascii="宋体" w:hAnsi="宋体" w:eastAsia="宋体" w:cs="Times New Roman"/>
                <w:kern w:val="2"/>
                <w:sz w:val="21"/>
                <w:szCs w:val="21"/>
                <w:lang w:val="en-US" w:eastAsia="zh-CN"/>
              </w:rPr>
              <w:t>3</w:t>
            </w:r>
            <w:r>
              <w:rPr>
                <w:rFonts w:hint="eastAsia" w:ascii="宋体" w:hAnsi="宋体" w:eastAsia="宋体" w:cs="Times New Roman"/>
                <w:kern w:val="2"/>
                <w:sz w:val="21"/>
                <w:szCs w:val="21"/>
              </w:rPr>
              <w:t>年</w:t>
            </w:r>
            <w:r>
              <w:rPr>
                <w:rFonts w:hint="eastAsia" w:ascii="宋体" w:hAnsi="宋体" w:eastAsia="宋体" w:cs="Times New Roman"/>
                <w:kern w:val="2"/>
                <w:sz w:val="21"/>
                <w:szCs w:val="21"/>
                <w:lang w:val="en-US" w:eastAsia="zh-CN"/>
              </w:rPr>
              <w:t>11</w:t>
            </w:r>
            <w:r>
              <w:rPr>
                <w:rFonts w:hint="eastAsia" w:ascii="宋体" w:hAnsi="宋体" w:eastAsia="宋体" w:cs="Times New Roman"/>
                <w:kern w:val="2"/>
                <w:sz w:val="21"/>
                <w:szCs w:val="21"/>
              </w:rPr>
              <w:t>月,其中：</w:t>
            </w:r>
          </w:p>
          <w:p>
            <w:pPr>
              <w:tabs>
                <w:tab w:val="left" w:pos="540"/>
              </w:tabs>
              <w:autoSpaceDE/>
              <w:autoSpaceDN/>
              <w:adjustRightInd/>
              <w:spacing w:line="360" w:lineRule="auto"/>
              <w:ind w:left="400" w:leftChars="0"/>
              <w:jc w:val="both"/>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rPr>
              <w:t>地下室：建施-01~建施</w:t>
            </w:r>
            <w:r>
              <w:rPr>
                <w:rFonts w:hint="eastAsia" w:ascii="宋体" w:hAnsi="宋体" w:eastAsia="宋体" w:cs="Times New Roman"/>
                <w:kern w:val="2"/>
                <w:sz w:val="21"/>
                <w:szCs w:val="21"/>
                <w:lang w:val="en-US" w:eastAsia="zh-CN"/>
              </w:rPr>
              <w:t>16</w:t>
            </w:r>
            <w:r>
              <w:rPr>
                <w:rFonts w:hint="eastAsia" w:ascii="宋体" w:hAnsi="宋体" w:eastAsia="宋体" w:cs="Times New Roman"/>
                <w:kern w:val="2"/>
                <w:sz w:val="21"/>
                <w:szCs w:val="21"/>
              </w:rPr>
              <w:t>，共2</w:t>
            </w:r>
            <w:r>
              <w:rPr>
                <w:rFonts w:hint="eastAsia" w:ascii="宋体" w:hAnsi="宋体" w:eastAsia="宋体" w:cs="Times New Roman"/>
                <w:kern w:val="2"/>
                <w:sz w:val="21"/>
                <w:szCs w:val="21"/>
                <w:lang w:val="en-US" w:eastAsia="zh-CN"/>
              </w:rPr>
              <w:t>0</w:t>
            </w:r>
            <w:r>
              <w:rPr>
                <w:rFonts w:hint="eastAsia" w:ascii="宋体" w:hAnsi="宋体" w:eastAsia="宋体" w:cs="Times New Roman"/>
                <w:kern w:val="2"/>
                <w:sz w:val="21"/>
                <w:szCs w:val="21"/>
              </w:rPr>
              <w:t>张；结施01a~结施</w:t>
            </w:r>
            <w:r>
              <w:rPr>
                <w:rFonts w:hint="eastAsia" w:ascii="宋体" w:hAnsi="宋体" w:eastAsia="宋体" w:cs="Times New Roman"/>
                <w:kern w:val="2"/>
                <w:sz w:val="21"/>
                <w:szCs w:val="21"/>
                <w:lang w:val="en-US" w:eastAsia="zh-CN"/>
              </w:rPr>
              <w:t>20</w:t>
            </w:r>
            <w:r>
              <w:rPr>
                <w:rFonts w:hint="eastAsia" w:ascii="宋体" w:hAnsi="宋体" w:eastAsia="宋体" w:cs="Times New Roman"/>
                <w:kern w:val="2"/>
                <w:sz w:val="21"/>
                <w:szCs w:val="21"/>
              </w:rPr>
              <w:t>，共</w:t>
            </w:r>
            <w:r>
              <w:rPr>
                <w:rFonts w:hint="eastAsia" w:ascii="宋体" w:hAnsi="宋体" w:eastAsia="宋体" w:cs="Times New Roman"/>
                <w:kern w:val="2"/>
                <w:sz w:val="21"/>
                <w:szCs w:val="21"/>
                <w:lang w:val="en-US" w:eastAsia="zh-CN"/>
              </w:rPr>
              <w:t>37</w:t>
            </w:r>
            <w:r>
              <w:rPr>
                <w:rFonts w:hint="eastAsia" w:ascii="宋体" w:hAnsi="宋体" w:eastAsia="宋体" w:cs="Times New Roman"/>
                <w:kern w:val="2"/>
                <w:sz w:val="21"/>
                <w:szCs w:val="21"/>
              </w:rPr>
              <w:t>张；电施0</w:t>
            </w:r>
            <w:r>
              <w:rPr>
                <w:rFonts w:hint="eastAsia" w:ascii="宋体" w:hAnsi="宋体" w:eastAsia="宋体" w:cs="Times New Roman"/>
                <w:kern w:val="2"/>
                <w:sz w:val="21"/>
                <w:szCs w:val="21"/>
                <w:lang w:val="en-US" w:eastAsia="zh-CN"/>
              </w:rPr>
              <w:t>0A</w:t>
            </w:r>
            <w:r>
              <w:rPr>
                <w:rFonts w:hint="eastAsia" w:ascii="宋体" w:hAnsi="宋体" w:eastAsia="宋体" w:cs="Times New Roman"/>
                <w:kern w:val="2"/>
                <w:sz w:val="21"/>
                <w:szCs w:val="21"/>
              </w:rPr>
              <w:t>~电施3</w:t>
            </w:r>
            <w:r>
              <w:rPr>
                <w:rFonts w:hint="eastAsia" w:ascii="宋体" w:hAnsi="宋体" w:eastAsia="宋体" w:cs="Times New Roman"/>
                <w:kern w:val="2"/>
                <w:sz w:val="21"/>
                <w:szCs w:val="21"/>
                <w:lang w:val="en-US" w:eastAsia="zh-CN"/>
              </w:rPr>
              <w:t>3</w:t>
            </w:r>
            <w:r>
              <w:rPr>
                <w:rFonts w:hint="eastAsia" w:ascii="宋体" w:hAnsi="宋体" w:eastAsia="宋体" w:cs="Times New Roman"/>
                <w:kern w:val="2"/>
                <w:sz w:val="21"/>
                <w:szCs w:val="21"/>
              </w:rPr>
              <w:t>，共3</w:t>
            </w:r>
            <w:r>
              <w:rPr>
                <w:rFonts w:hint="eastAsia" w:ascii="宋体" w:hAnsi="宋体" w:eastAsia="宋体" w:cs="Times New Roman"/>
                <w:kern w:val="2"/>
                <w:sz w:val="21"/>
                <w:szCs w:val="21"/>
                <w:lang w:val="en-US" w:eastAsia="zh-CN"/>
              </w:rPr>
              <w:t>5</w:t>
            </w:r>
            <w:r>
              <w:rPr>
                <w:rFonts w:hint="eastAsia" w:ascii="宋体" w:hAnsi="宋体" w:eastAsia="宋体" w:cs="Times New Roman"/>
                <w:kern w:val="2"/>
                <w:sz w:val="21"/>
                <w:szCs w:val="21"/>
              </w:rPr>
              <w:t>张；水施</w:t>
            </w:r>
            <w:r>
              <w:rPr>
                <w:rFonts w:hint="eastAsia" w:ascii="宋体" w:hAnsi="宋体" w:eastAsia="宋体" w:cs="Times New Roman"/>
                <w:kern w:val="2"/>
                <w:sz w:val="21"/>
                <w:szCs w:val="21"/>
                <w:lang w:val="en-US" w:eastAsia="zh-CN"/>
              </w:rPr>
              <w:t>00</w:t>
            </w:r>
            <w:r>
              <w:rPr>
                <w:rFonts w:hint="eastAsia" w:ascii="宋体" w:hAnsi="宋体" w:eastAsia="宋体" w:cs="Times New Roman"/>
                <w:kern w:val="2"/>
                <w:sz w:val="21"/>
                <w:szCs w:val="21"/>
              </w:rPr>
              <w:t>~水施1</w:t>
            </w:r>
            <w:r>
              <w:rPr>
                <w:rFonts w:hint="eastAsia" w:ascii="宋体" w:hAnsi="宋体" w:eastAsia="宋体" w:cs="Times New Roman"/>
                <w:kern w:val="2"/>
                <w:sz w:val="21"/>
                <w:szCs w:val="21"/>
                <w:lang w:val="en-US" w:eastAsia="zh-CN"/>
              </w:rPr>
              <w:t>3</w:t>
            </w:r>
            <w:r>
              <w:rPr>
                <w:rFonts w:hint="eastAsia" w:ascii="宋体" w:hAnsi="宋体" w:eastAsia="宋体" w:cs="Times New Roman"/>
                <w:kern w:val="2"/>
                <w:sz w:val="21"/>
                <w:szCs w:val="21"/>
              </w:rPr>
              <w:t>，共2</w:t>
            </w:r>
            <w:r>
              <w:rPr>
                <w:rFonts w:hint="eastAsia" w:ascii="宋体" w:hAnsi="宋体" w:eastAsia="宋体" w:cs="Times New Roman"/>
                <w:kern w:val="2"/>
                <w:sz w:val="21"/>
                <w:szCs w:val="21"/>
                <w:lang w:val="en-US" w:eastAsia="zh-CN"/>
              </w:rPr>
              <w:t>7</w:t>
            </w:r>
            <w:r>
              <w:rPr>
                <w:rFonts w:hint="eastAsia" w:ascii="宋体" w:hAnsi="宋体" w:eastAsia="宋体" w:cs="Times New Roman"/>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暖施25，共25张；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rPr>
              <w:t>1#楼：建施01~建施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，共2</w:t>
            </w:r>
            <w:r>
              <w:rPr>
                <w:rFonts w:hint="eastAsia" w:ascii="宋体" w:hAnsi="宋体" w:eastAsia="宋体" w:cs="Times New Roman"/>
                <w:color w:val="auto"/>
                <w:kern w:val="2"/>
                <w:sz w:val="21"/>
                <w:szCs w:val="21"/>
                <w:lang w:val="en-US" w:eastAsia="zh-CN"/>
              </w:rPr>
              <w:t>8</w:t>
            </w:r>
            <w:r>
              <w:rPr>
                <w:rFonts w:hint="eastAsia" w:ascii="宋体" w:hAnsi="宋体" w:eastAsia="宋体" w:cs="Times New Roman"/>
                <w:color w:val="auto"/>
                <w:kern w:val="2"/>
                <w:sz w:val="21"/>
                <w:szCs w:val="21"/>
              </w:rPr>
              <w:t>张；结施01</w:t>
            </w:r>
            <w:r>
              <w:rPr>
                <w:rFonts w:hint="eastAsia" w:ascii="宋体" w:hAnsi="宋体" w:eastAsia="宋体" w:cs="Times New Roman"/>
                <w:color w:val="auto"/>
                <w:kern w:val="2"/>
                <w:sz w:val="21"/>
                <w:szCs w:val="21"/>
                <w:lang w:val="en-US" w:eastAsia="zh-CN"/>
              </w:rPr>
              <w:t>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42</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45</w:t>
            </w:r>
            <w:r>
              <w:rPr>
                <w:rFonts w:hint="eastAsia" w:ascii="宋体" w:hAnsi="宋体" w:eastAsia="宋体" w:cs="Times New Roman"/>
                <w:color w:val="auto"/>
                <w:kern w:val="2"/>
                <w:sz w:val="21"/>
                <w:szCs w:val="21"/>
              </w:rPr>
              <w:t>张；预施01~预施</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21</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32</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，共1</w:t>
            </w:r>
            <w:r>
              <w:rPr>
                <w:rFonts w:hint="eastAsia" w:ascii="宋体" w:hAnsi="宋体" w:eastAsia="宋体" w:cs="Times New Roman"/>
                <w:color w:val="auto"/>
                <w:kern w:val="2"/>
                <w:sz w:val="21"/>
                <w:szCs w:val="21"/>
                <w:lang w:val="en-US" w:eastAsia="zh-CN"/>
              </w:rPr>
              <w:t>8</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暖施08，共8张；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rPr>
              <w:t>2#楼：建施01~建施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26</w:t>
            </w:r>
            <w:r>
              <w:rPr>
                <w:rFonts w:hint="eastAsia" w:ascii="宋体" w:hAnsi="宋体" w:eastAsia="宋体" w:cs="Times New Roman"/>
                <w:color w:val="auto"/>
                <w:kern w:val="2"/>
                <w:sz w:val="21"/>
                <w:szCs w:val="21"/>
              </w:rPr>
              <w:t>张；结施0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~结施3</w:t>
            </w:r>
            <w:r>
              <w:rPr>
                <w:rFonts w:hint="eastAsia" w:ascii="宋体" w:hAnsi="宋体" w:eastAsia="宋体" w:cs="Times New Roman"/>
                <w:color w:val="auto"/>
                <w:kern w:val="2"/>
                <w:sz w:val="21"/>
                <w:szCs w:val="21"/>
                <w:lang w:val="en-US" w:eastAsia="zh-CN"/>
              </w:rPr>
              <w:t>5</w:t>
            </w:r>
            <w:r>
              <w:rPr>
                <w:rFonts w:hint="eastAsia" w:ascii="宋体" w:hAnsi="宋体" w:eastAsia="宋体" w:cs="Times New Roman"/>
                <w:color w:val="auto"/>
                <w:kern w:val="2"/>
                <w:sz w:val="21"/>
                <w:szCs w:val="21"/>
              </w:rPr>
              <w:t>，共3</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张；预施01~预施1</w:t>
            </w:r>
            <w:r>
              <w:rPr>
                <w:rFonts w:hint="eastAsia" w:ascii="宋体" w:hAnsi="宋体" w:eastAsia="宋体" w:cs="Times New Roman"/>
                <w:color w:val="auto"/>
                <w:kern w:val="2"/>
                <w:sz w:val="21"/>
                <w:szCs w:val="21"/>
                <w:lang w:val="en-US" w:eastAsia="zh-CN"/>
              </w:rPr>
              <w:t>3</w:t>
            </w:r>
            <w:r>
              <w:rPr>
                <w:rFonts w:hint="eastAsia" w:ascii="宋体" w:hAnsi="宋体" w:eastAsia="宋体" w:cs="Times New Roman"/>
                <w:color w:val="auto"/>
                <w:kern w:val="2"/>
                <w:sz w:val="21"/>
                <w:szCs w:val="21"/>
              </w:rPr>
              <w:t>，共1</w:t>
            </w:r>
            <w:r>
              <w:rPr>
                <w:rFonts w:hint="eastAsia" w:ascii="宋体" w:hAnsi="宋体" w:eastAsia="宋体" w:cs="Times New Roman"/>
                <w:color w:val="auto"/>
                <w:kern w:val="2"/>
                <w:sz w:val="21"/>
                <w:szCs w:val="21"/>
                <w:lang w:val="en-US" w:eastAsia="zh-CN"/>
              </w:rPr>
              <w:t>3</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21</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32</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3</w:t>
            </w:r>
            <w:r>
              <w:rPr>
                <w:rFonts w:hint="eastAsia" w:ascii="宋体" w:hAnsi="宋体" w:eastAsia="宋体" w:cs="Times New Roman"/>
                <w:color w:val="auto"/>
                <w:kern w:val="2"/>
                <w:sz w:val="21"/>
                <w:szCs w:val="21"/>
              </w:rPr>
              <w:t>，共1</w:t>
            </w:r>
            <w:r>
              <w:rPr>
                <w:rFonts w:hint="eastAsia" w:ascii="宋体" w:hAnsi="宋体" w:eastAsia="宋体" w:cs="Times New Roman"/>
                <w:color w:val="auto"/>
                <w:kern w:val="2"/>
                <w:sz w:val="21"/>
                <w:szCs w:val="21"/>
                <w:lang w:val="en-US" w:eastAsia="zh-CN"/>
              </w:rPr>
              <w:t>7</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暖施08，共8张；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rPr>
              <w:t>3#楼：建施01~建施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，共2</w:t>
            </w:r>
            <w:r>
              <w:rPr>
                <w:rFonts w:hint="eastAsia" w:ascii="宋体" w:hAnsi="宋体" w:eastAsia="宋体" w:cs="Times New Roman"/>
                <w:color w:val="auto"/>
                <w:kern w:val="2"/>
                <w:sz w:val="21"/>
                <w:szCs w:val="21"/>
                <w:lang w:val="en-US" w:eastAsia="zh-CN"/>
              </w:rPr>
              <w:t>8</w:t>
            </w:r>
            <w:r>
              <w:rPr>
                <w:rFonts w:hint="eastAsia" w:ascii="宋体" w:hAnsi="宋体" w:eastAsia="宋体" w:cs="Times New Roman"/>
                <w:color w:val="auto"/>
                <w:kern w:val="2"/>
                <w:sz w:val="21"/>
                <w:szCs w:val="21"/>
              </w:rPr>
              <w:t>张；结施0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40</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44</w:t>
            </w:r>
            <w:r>
              <w:rPr>
                <w:rFonts w:hint="eastAsia" w:ascii="宋体" w:hAnsi="宋体" w:eastAsia="宋体" w:cs="Times New Roman"/>
                <w:color w:val="auto"/>
                <w:kern w:val="2"/>
                <w:sz w:val="21"/>
                <w:szCs w:val="21"/>
              </w:rPr>
              <w:t>张</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rPr>
              <w:t>预施01~预施</w:t>
            </w:r>
            <w:r>
              <w:rPr>
                <w:rFonts w:hint="eastAsia" w:ascii="宋体" w:hAnsi="宋体" w:eastAsia="宋体" w:cs="Times New Roman"/>
                <w:color w:val="auto"/>
                <w:kern w:val="2"/>
                <w:sz w:val="21"/>
                <w:szCs w:val="21"/>
                <w:lang w:val="en-US" w:eastAsia="zh-CN"/>
              </w:rPr>
              <w:t>8</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8</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20</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31</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，共1</w:t>
            </w:r>
            <w:r>
              <w:rPr>
                <w:rFonts w:hint="eastAsia" w:ascii="宋体" w:hAnsi="宋体" w:eastAsia="宋体" w:cs="Times New Roman"/>
                <w:color w:val="auto"/>
                <w:kern w:val="2"/>
                <w:sz w:val="21"/>
                <w:szCs w:val="21"/>
                <w:lang w:val="en-US" w:eastAsia="zh-CN"/>
              </w:rPr>
              <w:t>8</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暖施08，共8张；</w:t>
            </w:r>
          </w:p>
          <w:p>
            <w:pPr>
              <w:tabs>
                <w:tab w:val="left" w:pos="540"/>
              </w:tabs>
              <w:autoSpaceDE/>
              <w:autoSpaceDN/>
              <w:adjustRightInd/>
              <w:spacing w:line="360" w:lineRule="auto"/>
              <w:ind w:left="400" w:left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4#</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lang w:val="en-US" w:eastAsia="zh-CN"/>
              </w:rPr>
              <w:t>5#</w:t>
            </w:r>
            <w:r>
              <w:rPr>
                <w:rFonts w:hint="eastAsia" w:ascii="宋体" w:hAnsi="宋体" w:eastAsia="宋体" w:cs="Times New Roman"/>
                <w:color w:val="auto"/>
                <w:kern w:val="2"/>
                <w:sz w:val="21"/>
                <w:szCs w:val="21"/>
              </w:rPr>
              <w:t>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34</w:t>
            </w:r>
            <w:r>
              <w:rPr>
                <w:rFonts w:hint="eastAsia" w:ascii="宋体" w:hAnsi="宋体" w:eastAsia="宋体" w:cs="Times New Roman"/>
                <w:color w:val="auto"/>
                <w:kern w:val="2"/>
                <w:sz w:val="21"/>
                <w:szCs w:val="21"/>
              </w:rPr>
              <w:t>张；结施01a~结施</w:t>
            </w:r>
            <w:r>
              <w:rPr>
                <w:rFonts w:hint="eastAsia" w:ascii="宋体" w:hAnsi="宋体" w:eastAsia="宋体" w:cs="Times New Roman"/>
                <w:color w:val="auto"/>
                <w:kern w:val="2"/>
                <w:sz w:val="21"/>
                <w:szCs w:val="21"/>
                <w:lang w:val="en-US" w:eastAsia="zh-CN"/>
              </w:rPr>
              <w:t>42</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55</w:t>
            </w:r>
            <w:r>
              <w:rPr>
                <w:rFonts w:hint="eastAsia" w:ascii="宋体" w:hAnsi="宋体" w:eastAsia="宋体" w:cs="Times New Roman"/>
                <w:color w:val="auto"/>
                <w:kern w:val="2"/>
                <w:sz w:val="21"/>
                <w:szCs w:val="21"/>
              </w:rPr>
              <w:t>张；预施01~预施</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22</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40</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23</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暖施11，共11张；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rPr>
              <w:t>6#楼：建施01~建施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，共2</w:t>
            </w:r>
            <w:r>
              <w:rPr>
                <w:rFonts w:hint="eastAsia" w:ascii="宋体" w:hAnsi="宋体" w:eastAsia="宋体" w:cs="Times New Roman"/>
                <w:color w:val="auto"/>
                <w:kern w:val="2"/>
                <w:sz w:val="21"/>
                <w:szCs w:val="21"/>
                <w:lang w:val="en-US" w:eastAsia="zh-CN"/>
              </w:rPr>
              <w:t>7</w:t>
            </w:r>
            <w:r>
              <w:rPr>
                <w:rFonts w:hint="eastAsia" w:ascii="宋体" w:hAnsi="宋体" w:eastAsia="宋体" w:cs="Times New Roman"/>
                <w:color w:val="auto"/>
                <w:kern w:val="2"/>
                <w:sz w:val="21"/>
                <w:szCs w:val="21"/>
              </w:rPr>
              <w:t>张；结施01A~结施3</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42</w:t>
            </w:r>
            <w:r>
              <w:rPr>
                <w:rFonts w:hint="eastAsia" w:ascii="宋体" w:hAnsi="宋体" w:eastAsia="宋体" w:cs="Times New Roman"/>
                <w:color w:val="auto"/>
                <w:kern w:val="2"/>
                <w:sz w:val="21"/>
                <w:szCs w:val="21"/>
              </w:rPr>
              <w:t>张；预施01~预施8，共8张；电施0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20</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31</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3</w:t>
            </w:r>
            <w:r>
              <w:rPr>
                <w:rFonts w:hint="eastAsia" w:ascii="宋体" w:hAnsi="宋体" w:eastAsia="宋体" w:cs="Times New Roman"/>
                <w:color w:val="auto"/>
                <w:kern w:val="2"/>
                <w:sz w:val="21"/>
                <w:szCs w:val="21"/>
              </w:rPr>
              <w:t>，共1</w:t>
            </w:r>
            <w:r>
              <w:rPr>
                <w:rFonts w:hint="eastAsia" w:ascii="宋体" w:hAnsi="宋体" w:eastAsia="宋体" w:cs="Times New Roman"/>
                <w:color w:val="auto"/>
                <w:kern w:val="2"/>
                <w:sz w:val="21"/>
                <w:szCs w:val="21"/>
                <w:lang w:val="en-US" w:eastAsia="zh-CN"/>
              </w:rPr>
              <w:t>7</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暖施09，共9张；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rPr>
              <w:t>7#</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lang w:val="en-US" w:eastAsia="zh-CN"/>
              </w:rPr>
              <w:t>8#</w:t>
            </w:r>
            <w:r>
              <w:rPr>
                <w:rFonts w:hint="eastAsia" w:ascii="宋体" w:hAnsi="宋体" w:eastAsia="宋体" w:cs="Times New Roman"/>
                <w:color w:val="auto"/>
                <w:kern w:val="2"/>
                <w:sz w:val="21"/>
                <w:szCs w:val="21"/>
              </w:rPr>
              <w:t>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35</w:t>
            </w:r>
            <w:r>
              <w:rPr>
                <w:rFonts w:hint="eastAsia" w:ascii="宋体" w:hAnsi="宋体" w:eastAsia="宋体" w:cs="Times New Roman"/>
                <w:color w:val="auto"/>
                <w:kern w:val="2"/>
                <w:sz w:val="21"/>
                <w:szCs w:val="21"/>
              </w:rPr>
              <w:t>张；结施01A~结施3</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60</w:t>
            </w:r>
            <w:r>
              <w:rPr>
                <w:rFonts w:hint="eastAsia" w:ascii="宋体" w:hAnsi="宋体" w:eastAsia="宋体" w:cs="Times New Roman"/>
                <w:color w:val="auto"/>
                <w:kern w:val="2"/>
                <w:sz w:val="21"/>
                <w:szCs w:val="21"/>
              </w:rPr>
              <w:t>张；预施01~预施</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21</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40</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3</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24</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暖施14，共14张；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rPr>
              <w:t>9#楼：建施01~建施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29</w:t>
            </w:r>
            <w:r>
              <w:rPr>
                <w:rFonts w:hint="eastAsia" w:ascii="宋体" w:hAnsi="宋体" w:eastAsia="宋体" w:cs="Times New Roman"/>
                <w:color w:val="auto"/>
                <w:kern w:val="2"/>
                <w:sz w:val="21"/>
                <w:szCs w:val="21"/>
              </w:rPr>
              <w:t>张；结施0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~结施3</w:t>
            </w:r>
            <w:r>
              <w:rPr>
                <w:rFonts w:hint="eastAsia" w:ascii="宋体" w:hAnsi="宋体" w:eastAsia="宋体" w:cs="Times New Roman"/>
                <w:color w:val="auto"/>
                <w:kern w:val="2"/>
                <w:sz w:val="21"/>
                <w:szCs w:val="21"/>
                <w:lang w:val="en-US" w:eastAsia="zh-CN"/>
              </w:rPr>
              <w:t>6</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40</w:t>
            </w:r>
            <w:r>
              <w:rPr>
                <w:rFonts w:hint="eastAsia" w:ascii="宋体" w:hAnsi="宋体" w:eastAsia="宋体" w:cs="Times New Roman"/>
                <w:color w:val="auto"/>
                <w:kern w:val="2"/>
                <w:sz w:val="21"/>
                <w:szCs w:val="21"/>
              </w:rPr>
              <w:t>张；预施01~预施1</w:t>
            </w:r>
            <w:r>
              <w:rPr>
                <w:rFonts w:hint="eastAsia" w:ascii="宋体" w:hAnsi="宋体" w:eastAsia="宋体" w:cs="Times New Roman"/>
                <w:color w:val="auto"/>
                <w:kern w:val="2"/>
                <w:sz w:val="21"/>
                <w:szCs w:val="21"/>
                <w:lang w:val="en-US" w:eastAsia="zh-CN"/>
              </w:rPr>
              <w:t>1</w:t>
            </w:r>
            <w:r>
              <w:rPr>
                <w:rFonts w:hint="eastAsia" w:ascii="宋体" w:hAnsi="宋体" w:eastAsia="宋体" w:cs="Times New Roman"/>
                <w:color w:val="auto"/>
                <w:kern w:val="2"/>
                <w:sz w:val="21"/>
                <w:szCs w:val="21"/>
              </w:rPr>
              <w:t>，共1</w:t>
            </w:r>
            <w:r>
              <w:rPr>
                <w:rFonts w:hint="eastAsia" w:ascii="宋体" w:hAnsi="宋体" w:eastAsia="宋体" w:cs="Times New Roman"/>
                <w:color w:val="auto"/>
                <w:kern w:val="2"/>
                <w:sz w:val="21"/>
                <w:szCs w:val="21"/>
                <w:lang w:val="en-US" w:eastAsia="zh-CN"/>
              </w:rPr>
              <w:t>1</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21</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32</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2</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16</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暖施09，共9张；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lang w:val="en-US" w:eastAsia="zh-CN"/>
              </w:rPr>
              <w:t>10</w:t>
            </w:r>
            <w:r>
              <w:rPr>
                <w:rFonts w:hint="eastAsia" w:ascii="宋体" w:hAnsi="宋体" w:eastAsia="宋体" w:cs="Times New Roman"/>
                <w:color w:val="auto"/>
                <w:kern w:val="2"/>
                <w:sz w:val="21"/>
                <w:szCs w:val="21"/>
              </w:rPr>
              <w:t>#楼：建施01~建施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张；结施0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04</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7</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~电施0</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14</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w:t>
            </w:r>
            <w:r>
              <w:rPr>
                <w:rFonts w:hint="eastAsia" w:ascii="宋体" w:hAnsi="宋体" w:eastAsia="宋体" w:cs="Times New Roman"/>
                <w:color w:val="auto"/>
                <w:kern w:val="2"/>
                <w:sz w:val="21"/>
                <w:szCs w:val="21"/>
                <w:lang w:val="en-US" w:eastAsia="zh-CN"/>
              </w:rPr>
              <w:t>02</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6</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暖施04，共4张；</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lang w:eastAsia="zh-CN"/>
              </w:rPr>
            </w:pPr>
            <w:r>
              <w:rPr>
                <w:rFonts w:hint="eastAsia" w:ascii="宋体" w:hAnsi="宋体" w:eastAsia="宋体" w:cs="Times New Roman"/>
                <w:color w:val="auto"/>
                <w:kern w:val="2"/>
                <w:sz w:val="21"/>
                <w:szCs w:val="21"/>
                <w:lang w:val="en-US" w:eastAsia="zh-CN"/>
              </w:rPr>
              <w:t>11</w:t>
            </w:r>
            <w:r>
              <w:rPr>
                <w:rFonts w:hint="eastAsia" w:ascii="宋体" w:hAnsi="宋体" w:eastAsia="宋体" w:cs="Times New Roman"/>
                <w:color w:val="auto"/>
                <w:kern w:val="2"/>
                <w:sz w:val="21"/>
                <w:szCs w:val="21"/>
              </w:rPr>
              <w:t>#楼：建施01~建施</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26</w:t>
            </w:r>
            <w:r>
              <w:rPr>
                <w:rFonts w:hint="eastAsia" w:ascii="宋体" w:hAnsi="宋体" w:eastAsia="宋体" w:cs="Times New Roman"/>
                <w:color w:val="auto"/>
                <w:kern w:val="2"/>
                <w:sz w:val="21"/>
                <w:szCs w:val="21"/>
              </w:rPr>
              <w:t>张；结施01</w:t>
            </w:r>
            <w:r>
              <w:rPr>
                <w:rFonts w:hint="eastAsia" w:ascii="宋体" w:hAnsi="宋体" w:eastAsia="宋体" w:cs="Times New Roman"/>
                <w:color w:val="auto"/>
                <w:kern w:val="2"/>
                <w:sz w:val="21"/>
                <w:szCs w:val="21"/>
                <w:lang w:val="en-US" w:eastAsia="zh-CN"/>
              </w:rPr>
              <w:t>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42</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42</w:t>
            </w:r>
            <w:r>
              <w:rPr>
                <w:rFonts w:hint="eastAsia" w:ascii="宋体" w:hAnsi="宋体" w:eastAsia="宋体" w:cs="Times New Roman"/>
                <w:color w:val="auto"/>
                <w:kern w:val="2"/>
                <w:sz w:val="21"/>
                <w:szCs w:val="21"/>
              </w:rPr>
              <w:t>张；预施01~预施</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9</w:t>
            </w:r>
            <w:r>
              <w:rPr>
                <w:rFonts w:hint="eastAsia" w:ascii="宋体" w:hAnsi="宋体" w:eastAsia="宋体" w:cs="Times New Roman"/>
                <w:color w:val="auto"/>
                <w:kern w:val="2"/>
                <w:sz w:val="21"/>
                <w:szCs w:val="21"/>
              </w:rPr>
              <w:t>张；电施0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~电施</w:t>
            </w:r>
            <w:r>
              <w:rPr>
                <w:rFonts w:hint="eastAsia" w:ascii="宋体" w:hAnsi="宋体" w:eastAsia="宋体" w:cs="Times New Roman"/>
                <w:color w:val="auto"/>
                <w:kern w:val="2"/>
                <w:sz w:val="21"/>
                <w:szCs w:val="21"/>
                <w:lang w:val="en-US" w:eastAsia="zh-CN"/>
              </w:rPr>
              <w:t>23</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34</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0</w:t>
            </w:r>
            <w:r>
              <w:rPr>
                <w:rFonts w:hint="eastAsia" w:ascii="宋体" w:hAnsi="宋体" w:eastAsia="宋体" w:cs="Times New Roman"/>
                <w:color w:val="auto"/>
                <w:kern w:val="2"/>
                <w:sz w:val="21"/>
                <w:szCs w:val="21"/>
              </w:rPr>
              <w:t>1通~水施1</w:t>
            </w:r>
            <w:r>
              <w:rPr>
                <w:rFonts w:hint="eastAsia" w:ascii="宋体" w:hAnsi="宋体" w:eastAsia="宋体" w:cs="Times New Roman"/>
                <w:color w:val="auto"/>
                <w:kern w:val="2"/>
                <w:sz w:val="21"/>
                <w:szCs w:val="21"/>
                <w:lang w:val="en-US" w:eastAsia="zh-CN"/>
              </w:rPr>
              <w:t>3</w:t>
            </w:r>
            <w:r>
              <w:rPr>
                <w:rFonts w:hint="eastAsia" w:ascii="宋体" w:hAnsi="宋体" w:eastAsia="宋体" w:cs="Times New Roman"/>
                <w:color w:val="auto"/>
                <w:kern w:val="2"/>
                <w:sz w:val="21"/>
                <w:szCs w:val="21"/>
              </w:rPr>
              <w:t>，共1</w:t>
            </w:r>
            <w:r>
              <w:rPr>
                <w:rFonts w:hint="eastAsia" w:ascii="宋体" w:hAnsi="宋体" w:eastAsia="宋体" w:cs="Times New Roman"/>
                <w:color w:val="auto"/>
                <w:kern w:val="2"/>
                <w:sz w:val="21"/>
                <w:szCs w:val="21"/>
                <w:lang w:val="en-US" w:eastAsia="zh-CN"/>
              </w:rPr>
              <w:t>7</w:t>
            </w:r>
            <w:r>
              <w:rPr>
                <w:rFonts w:hint="eastAsia" w:ascii="宋体" w:hAnsi="宋体" w:eastAsia="宋体" w:cs="Times New Roman"/>
                <w:color w:val="auto"/>
                <w:kern w:val="2"/>
                <w:sz w:val="21"/>
                <w:szCs w:val="21"/>
              </w:rPr>
              <w:t>张；</w:t>
            </w:r>
            <w:r>
              <w:rPr>
                <w:rFonts w:hint="eastAsia" w:ascii="宋体" w:hAnsi="宋体" w:eastAsia="宋体" w:cs="Times New Roman"/>
                <w:kern w:val="2"/>
                <w:sz w:val="21"/>
                <w:szCs w:val="21"/>
                <w:lang w:val="en-US" w:eastAsia="zh-CN"/>
              </w:rPr>
              <w:t>暖施01</w:t>
            </w:r>
            <w:r>
              <w:rPr>
                <w:rFonts w:hint="eastAsia" w:ascii="宋体" w:hAnsi="宋体" w:eastAsia="宋体" w:cs="Times New Roman"/>
                <w:kern w:val="2"/>
                <w:sz w:val="21"/>
                <w:szCs w:val="21"/>
              </w:rPr>
              <w:t>~</w:t>
            </w:r>
            <w:r>
              <w:rPr>
                <w:rFonts w:hint="eastAsia" w:ascii="宋体" w:hAnsi="宋体" w:eastAsia="宋体" w:cs="Times New Roman"/>
                <w:kern w:val="2"/>
                <w:sz w:val="21"/>
                <w:szCs w:val="21"/>
                <w:lang w:val="en-US" w:eastAsia="zh-CN"/>
              </w:rPr>
              <w:t>暖施09，共9张；</w:t>
            </w:r>
          </w:p>
          <w:p>
            <w:pPr>
              <w:tabs>
                <w:tab w:val="left" w:pos="540"/>
              </w:tabs>
              <w:autoSpaceDE/>
              <w:autoSpaceDN/>
              <w:adjustRightInd/>
              <w:spacing w:line="360" w:lineRule="auto"/>
              <w:ind w:left="400" w:leftChars="0"/>
              <w:jc w:val="both"/>
              <w:rPr>
                <w:rFonts w:hint="default"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景观门廊：</w:t>
            </w:r>
            <w:r>
              <w:rPr>
                <w:rFonts w:hint="eastAsia" w:ascii="宋体" w:hAnsi="宋体" w:eastAsia="宋体" w:cs="Times New Roman"/>
                <w:color w:val="auto"/>
                <w:kern w:val="2"/>
                <w:sz w:val="21"/>
                <w:szCs w:val="21"/>
              </w:rPr>
              <w:t>建施01~建施0</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张；结施0</w:t>
            </w:r>
            <w:r>
              <w:rPr>
                <w:rFonts w:hint="eastAsia" w:ascii="宋体" w:hAnsi="宋体" w:eastAsia="宋体" w:cs="Times New Roman"/>
                <w:color w:val="auto"/>
                <w:kern w:val="2"/>
                <w:sz w:val="21"/>
                <w:szCs w:val="21"/>
                <w:lang w:val="en-US" w:eastAsia="zh-CN"/>
              </w:rPr>
              <w:t>0A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02</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5</w:t>
            </w:r>
            <w:r>
              <w:rPr>
                <w:rFonts w:hint="eastAsia" w:ascii="宋体" w:hAnsi="宋体" w:eastAsia="宋体" w:cs="Times New Roman"/>
                <w:color w:val="auto"/>
                <w:kern w:val="2"/>
                <w:sz w:val="21"/>
                <w:szCs w:val="21"/>
              </w:rPr>
              <w:t>张；</w:t>
            </w:r>
          </w:p>
          <w:p>
            <w:pPr>
              <w:tabs>
                <w:tab w:val="left" w:pos="540"/>
              </w:tabs>
              <w:autoSpaceDE/>
              <w:autoSpaceDN/>
              <w:adjustRightInd/>
              <w:spacing w:line="360" w:lineRule="auto"/>
              <w:ind w:left="400" w:leftChars="0"/>
              <w:jc w:val="both"/>
              <w:rPr>
                <w:rFonts w:hint="default" w:ascii="宋体" w:hAnsi="宋体" w:eastAsia="宋体" w:cs="Times New Roman"/>
                <w:color w:val="FF0000"/>
                <w:kern w:val="2"/>
                <w:sz w:val="21"/>
                <w:szCs w:val="21"/>
                <w:lang w:val="en-US" w:eastAsia="zh-CN"/>
              </w:rPr>
            </w:pPr>
            <w:r>
              <w:rPr>
                <w:rFonts w:hint="eastAsia" w:ascii="宋体" w:hAnsi="宋体" w:eastAsia="宋体" w:cs="Times New Roman"/>
                <w:color w:val="auto"/>
                <w:kern w:val="2"/>
                <w:sz w:val="21"/>
                <w:szCs w:val="21"/>
                <w:lang w:val="en-US" w:eastAsia="zh-CN"/>
              </w:rPr>
              <w:t>1#</w:t>
            </w:r>
            <w:r>
              <w:rPr>
                <w:rFonts w:hint="eastAsia" w:ascii="宋体" w:hAnsi="宋体" w:eastAsia="宋体" w:cs="Times New Roman"/>
                <w:color w:val="auto"/>
                <w:kern w:val="2"/>
                <w:sz w:val="21"/>
                <w:szCs w:val="21"/>
              </w:rPr>
              <w:t>配电房</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lang w:val="en-US" w:eastAsia="zh-CN"/>
              </w:rPr>
              <w:t>开关站</w:t>
            </w:r>
            <w:r>
              <w:rPr>
                <w:rFonts w:hint="eastAsia" w:ascii="宋体" w:hAnsi="宋体" w:eastAsia="宋体" w:cs="Times New Roman"/>
                <w:color w:val="auto"/>
                <w:kern w:val="2"/>
                <w:sz w:val="21"/>
                <w:szCs w:val="21"/>
              </w:rPr>
              <w:t>：建施01~建施04，共4张；结施01</w:t>
            </w:r>
            <w:r>
              <w:rPr>
                <w:rFonts w:hint="eastAsia" w:ascii="宋体" w:hAnsi="宋体" w:eastAsia="宋体" w:cs="Times New Roman"/>
                <w:color w:val="auto"/>
                <w:kern w:val="2"/>
                <w:sz w:val="21"/>
                <w:szCs w:val="21"/>
                <w:lang w:val="en-US" w:eastAsia="zh-CN"/>
              </w:rPr>
              <w:t>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04</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w:t>
            </w:r>
            <w:r>
              <w:rPr>
                <w:rFonts w:hint="eastAsia" w:ascii="宋体" w:hAnsi="宋体" w:eastAsia="宋体" w:cs="Times New Roman"/>
                <w:color w:val="auto"/>
                <w:kern w:val="2"/>
                <w:sz w:val="21"/>
                <w:szCs w:val="21"/>
              </w:rPr>
              <w:t>01</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水施-01，共5张</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暖施01；</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lang w:val="en-US" w:eastAsia="zh-CN"/>
              </w:rPr>
              <w:t>2#、3#</w:t>
            </w:r>
            <w:r>
              <w:rPr>
                <w:rFonts w:hint="eastAsia" w:ascii="宋体" w:hAnsi="宋体" w:eastAsia="宋体" w:cs="Times New Roman"/>
                <w:color w:val="auto"/>
                <w:kern w:val="2"/>
                <w:sz w:val="21"/>
                <w:szCs w:val="21"/>
              </w:rPr>
              <w:t>配电房：建施01~建施04，共4张；结施01</w:t>
            </w:r>
            <w:r>
              <w:rPr>
                <w:rFonts w:hint="eastAsia" w:ascii="宋体" w:hAnsi="宋体" w:eastAsia="宋体" w:cs="Times New Roman"/>
                <w:color w:val="auto"/>
                <w:kern w:val="2"/>
                <w:sz w:val="21"/>
                <w:szCs w:val="21"/>
                <w:lang w:val="en-US" w:eastAsia="zh-CN"/>
              </w:rPr>
              <w:t>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04</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w:t>
            </w:r>
            <w:r>
              <w:rPr>
                <w:rFonts w:hint="eastAsia" w:ascii="宋体" w:hAnsi="宋体" w:eastAsia="宋体" w:cs="Times New Roman"/>
                <w:color w:val="auto"/>
                <w:kern w:val="2"/>
                <w:sz w:val="21"/>
                <w:szCs w:val="21"/>
              </w:rPr>
              <w:t>01</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水施-01，共5张</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暖施01；</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lang w:val="en-US" w:eastAsia="zh-CN"/>
              </w:rPr>
              <w:t>垃圾房4#</w:t>
            </w:r>
            <w:r>
              <w:rPr>
                <w:rFonts w:hint="eastAsia" w:ascii="宋体" w:hAnsi="宋体" w:eastAsia="宋体" w:cs="Times New Roman"/>
                <w:color w:val="auto"/>
                <w:kern w:val="2"/>
                <w:sz w:val="21"/>
                <w:szCs w:val="21"/>
              </w:rPr>
              <w:t>配电房：建施01~建施04，共4张；结施01</w:t>
            </w:r>
            <w:r>
              <w:rPr>
                <w:rFonts w:hint="eastAsia" w:ascii="宋体" w:hAnsi="宋体" w:eastAsia="宋体" w:cs="Times New Roman"/>
                <w:color w:val="auto"/>
                <w:kern w:val="2"/>
                <w:sz w:val="21"/>
                <w:szCs w:val="21"/>
                <w:lang w:val="en-US" w:eastAsia="zh-CN"/>
              </w:rPr>
              <w:t>a</w:t>
            </w:r>
            <w:r>
              <w:rPr>
                <w:rFonts w:hint="eastAsia" w:ascii="宋体" w:hAnsi="宋体" w:eastAsia="宋体" w:cs="Times New Roman"/>
                <w:color w:val="auto"/>
                <w:kern w:val="2"/>
                <w:sz w:val="21"/>
                <w:szCs w:val="21"/>
              </w:rPr>
              <w:t>~结施</w:t>
            </w:r>
            <w:r>
              <w:rPr>
                <w:rFonts w:hint="eastAsia" w:ascii="宋体" w:hAnsi="宋体" w:eastAsia="宋体" w:cs="Times New Roman"/>
                <w:color w:val="auto"/>
                <w:kern w:val="2"/>
                <w:sz w:val="21"/>
                <w:szCs w:val="21"/>
                <w:lang w:val="en-US" w:eastAsia="zh-CN"/>
              </w:rPr>
              <w:t>04</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5</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w:t>
            </w:r>
            <w:r>
              <w:rPr>
                <w:rFonts w:hint="eastAsia" w:ascii="宋体" w:hAnsi="宋体" w:eastAsia="宋体" w:cs="Times New Roman"/>
                <w:color w:val="auto"/>
                <w:kern w:val="2"/>
                <w:sz w:val="21"/>
                <w:szCs w:val="21"/>
              </w:rPr>
              <w:t>01</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水施-01，共5张</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暖施01；</w:t>
            </w:r>
          </w:p>
          <w:p>
            <w:pPr>
              <w:tabs>
                <w:tab w:val="left" w:pos="540"/>
              </w:tabs>
              <w:autoSpaceDE/>
              <w:autoSpaceDN/>
              <w:adjustRightInd/>
              <w:spacing w:line="360" w:lineRule="auto"/>
              <w:ind w:left="400" w:leftChars="0"/>
              <w:jc w:val="both"/>
              <w:rPr>
                <w:rFonts w:hint="eastAsia" w:ascii="宋体" w:hAnsi="宋体" w:eastAsia="宋体" w:cs="Times New Roman"/>
                <w:color w:val="FF0000"/>
                <w:kern w:val="2"/>
                <w:sz w:val="21"/>
                <w:szCs w:val="21"/>
              </w:rPr>
            </w:pPr>
            <w:r>
              <w:rPr>
                <w:rFonts w:hint="eastAsia" w:ascii="宋体" w:hAnsi="宋体" w:eastAsia="宋体" w:cs="Times New Roman"/>
                <w:color w:val="auto"/>
                <w:kern w:val="2"/>
                <w:sz w:val="21"/>
                <w:szCs w:val="21"/>
                <w:lang w:val="en-US" w:eastAsia="zh-CN"/>
              </w:rPr>
              <w:t>5#</w:t>
            </w:r>
            <w:r>
              <w:rPr>
                <w:rFonts w:hint="eastAsia" w:ascii="宋体" w:hAnsi="宋体" w:eastAsia="宋体" w:cs="Times New Roman"/>
                <w:color w:val="auto"/>
                <w:kern w:val="2"/>
                <w:sz w:val="21"/>
                <w:szCs w:val="21"/>
              </w:rPr>
              <w:t>配电房：建施01~建施04，共4张；结施01</w:t>
            </w:r>
            <w:r>
              <w:rPr>
                <w:rFonts w:hint="eastAsia" w:ascii="宋体" w:hAnsi="宋体" w:eastAsia="宋体" w:cs="Times New Roman"/>
                <w:color w:val="auto"/>
                <w:kern w:val="2"/>
                <w:sz w:val="21"/>
                <w:szCs w:val="21"/>
                <w:lang w:val="en-US" w:eastAsia="zh-CN"/>
              </w:rPr>
              <w:t>a</w:t>
            </w:r>
            <w:r>
              <w:rPr>
                <w:rFonts w:hint="eastAsia" w:ascii="宋体" w:hAnsi="宋体" w:eastAsia="宋体" w:cs="Times New Roman"/>
                <w:color w:val="auto"/>
                <w:kern w:val="2"/>
                <w:sz w:val="21"/>
                <w:szCs w:val="21"/>
              </w:rPr>
              <w:t>~结施03，共</w:t>
            </w:r>
            <w:r>
              <w:rPr>
                <w:rFonts w:hint="eastAsia" w:ascii="宋体" w:hAnsi="宋体" w:eastAsia="宋体" w:cs="Times New Roman"/>
                <w:color w:val="auto"/>
                <w:kern w:val="2"/>
                <w:sz w:val="21"/>
                <w:szCs w:val="21"/>
                <w:lang w:val="en-US" w:eastAsia="zh-CN"/>
              </w:rPr>
              <w:t>4</w:t>
            </w:r>
            <w:r>
              <w:rPr>
                <w:rFonts w:hint="eastAsia" w:ascii="宋体" w:hAnsi="宋体" w:eastAsia="宋体" w:cs="Times New Roman"/>
                <w:color w:val="auto"/>
                <w:kern w:val="2"/>
                <w:sz w:val="21"/>
                <w:szCs w:val="21"/>
              </w:rPr>
              <w:t>张；水施</w:t>
            </w:r>
            <w:r>
              <w:rPr>
                <w:rFonts w:hint="eastAsia" w:ascii="宋体" w:hAnsi="宋体" w:eastAsia="宋体" w:cs="Times New Roman"/>
                <w:color w:val="auto"/>
                <w:kern w:val="2"/>
                <w:sz w:val="21"/>
                <w:szCs w:val="21"/>
                <w:lang w:val="en-US" w:eastAsia="zh-CN"/>
              </w:rPr>
              <w:t>-</w:t>
            </w:r>
            <w:r>
              <w:rPr>
                <w:rFonts w:hint="eastAsia" w:ascii="宋体" w:hAnsi="宋体" w:eastAsia="宋体" w:cs="Times New Roman"/>
                <w:color w:val="auto"/>
                <w:kern w:val="2"/>
                <w:sz w:val="21"/>
                <w:szCs w:val="21"/>
              </w:rPr>
              <w:t>01</w:t>
            </w:r>
            <w:r>
              <w:rPr>
                <w:rFonts w:hint="eastAsia" w:ascii="宋体" w:hAnsi="宋体" w:eastAsia="宋体" w:cs="Times New Roman"/>
                <w:color w:val="auto"/>
                <w:kern w:val="2"/>
                <w:sz w:val="21"/>
                <w:szCs w:val="21"/>
                <w:lang w:val="en-US" w:eastAsia="zh-CN"/>
              </w:rPr>
              <w:t>通</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水施-01，共5张</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暖施01；</w:t>
            </w:r>
          </w:p>
          <w:p>
            <w:pPr>
              <w:tabs>
                <w:tab w:val="left" w:pos="540"/>
              </w:tabs>
              <w:autoSpaceDE/>
              <w:autoSpaceDN/>
              <w:adjustRightInd/>
              <w:spacing w:line="360" w:lineRule="auto"/>
              <w:ind w:left="400" w:left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装修</w:t>
            </w:r>
            <w:r>
              <w:rPr>
                <w:rFonts w:hint="eastAsia" w:ascii="宋体" w:hAnsi="宋体" w:eastAsia="宋体" w:cs="Times New Roman"/>
                <w:color w:val="auto"/>
                <w:kern w:val="2"/>
                <w:sz w:val="21"/>
                <w:szCs w:val="21"/>
                <w:lang w:val="en-US" w:eastAsia="zh-CN"/>
              </w:rPr>
              <w:t>公区</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ML</w:t>
            </w:r>
            <w:r>
              <w:rPr>
                <w:rFonts w:hint="eastAsia" w:ascii="宋体" w:hAnsi="宋体" w:eastAsia="宋体" w:cs="Times New Roman"/>
                <w:color w:val="auto"/>
                <w:kern w:val="2"/>
                <w:sz w:val="21"/>
                <w:szCs w:val="21"/>
              </w:rPr>
              <w:t>-01~</w:t>
            </w:r>
            <w:r>
              <w:rPr>
                <w:rFonts w:hint="eastAsia" w:ascii="宋体" w:hAnsi="宋体" w:eastAsia="宋体" w:cs="Times New Roman"/>
                <w:color w:val="auto"/>
                <w:kern w:val="2"/>
                <w:sz w:val="21"/>
                <w:szCs w:val="21"/>
                <w:lang w:val="en-US" w:eastAsia="zh-CN"/>
              </w:rPr>
              <w:t>JD-01</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74</w:t>
            </w:r>
            <w:r>
              <w:rPr>
                <w:rFonts w:hint="eastAsia" w:ascii="宋体" w:hAnsi="宋体" w:eastAsia="宋体" w:cs="Times New Roman"/>
                <w:color w:val="auto"/>
                <w:kern w:val="2"/>
                <w:sz w:val="21"/>
                <w:szCs w:val="21"/>
              </w:rPr>
              <w:t>张；</w:t>
            </w:r>
          </w:p>
          <w:p>
            <w:pPr>
              <w:tabs>
                <w:tab w:val="left" w:pos="540"/>
              </w:tabs>
              <w:autoSpaceDE/>
              <w:autoSpaceDN/>
              <w:adjustRightInd/>
              <w:spacing w:line="360" w:lineRule="auto"/>
              <w:ind w:left="400" w:leftChars="0"/>
              <w:jc w:val="both"/>
              <w:rPr>
                <w:rFonts w:hint="default"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装修户内：ML</w:t>
            </w:r>
            <w:r>
              <w:rPr>
                <w:rFonts w:hint="eastAsia" w:ascii="宋体" w:hAnsi="宋体" w:eastAsia="宋体" w:cs="Times New Roman"/>
                <w:color w:val="auto"/>
                <w:kern w:val="2"/>
                <w:sz w:val="21"/>
                <w:szCs w:val="21"/>
              </w:rPr>
              <w:t>-01~</w:t>
            </w:r>
            <w:r>
              <w:rPr>
                <w:rFonts w:hint="eastAsia" w:ascii="宋体" w:hAnsi="宋体" w:eastAsia="宋体" w:cs="Times New Roman"/>
                <w:color w:val="auto"/>
                <w:kern w:val="2"/>
                <w:sz w:val="21"/>
                <w:szCs w:val="21"/>
                <w:lang w:val="en-US" w:eastAsia="zh-CN"/>
              </w:rPr>
              <w:t>JD-03</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81</w:t>
            </w:r>
            <w:r>
              <w:rPr>
                <w:rFonts w:hint="eastAsia" w:ascii="宋体" w:hAnsi="宋体" w:eastAsia="宋体" w:cs="Times New Roman"/>
                <w:color w:val="auto"/>
                <w:kern w:val="2"/>
                <w:sz w:val="21"/>
                <w:szCs w:val="21"/>
              </w:rPr>
              <w:t>张；</w:t>
            </w:r>
          </w:p>
          <w:p>
            <w:pPr>
              <w:tabs>
                <w:tab w:val="left" w:pos="540"/>
              </w:tabs>
              <w:autoSpaceDE/>
              <w:autoSpaceDN/>
              <w:adjustRightInd/>
              <w:spacing w:line="360" w:lineRule="auto"/>
              <w:ind w:left="400" w:leftChars="0"/>
              <w:jc w:val="both"/>
              <w:rPr>
                <w:rFonts w:hint="default"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幕墙：ML-01</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ZPT，共77张；</w:t>
            </w:r>
          </w:p>
          <w:p>
            <w:pPr>
              <w:tabs>
                <w:tab w:val="left" w:pos="540"/>
              </w:tabs>
              <w:autoSpaceDE/>
              <w:autoSpaceDN/>
              <w:adjustRightInd/>
              <w:spacing w:line="360" w:lineRule="auto"/>
              <w:ind w:left="400" w:leftChars="0"/>
              <w:jc w:val="both"/>
              <w:rPr>
                <w:rFonts w:hint="default"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rPr>
              <w:t>场外景观：ML-01~</w:t>
            </w:r>
            <w:r>
              <w:rPr>
                <w:rFonts w:hint="eastAsia" w:ascii="宋体" w:hAnsi="宋体" w:eastAsia="宋体" w:cs="Times New Roman"/>
                <w:color w:val="auto"/>
                <w:kern w:val="2"/>
                <w:sz w:val="21"/>
                <w:szCs w:val="21"/>
                <w:lang w:val="en-US" w:eastAsia="zh-CN"/>
              </w:rPr>
              <w:t>绿</w:t>
            </w:r>
            <w:r>
              <w:rPr>
                <w:rFonts w:hint="eastAsia" w:ascii="宋体" w:hAnsi="宋体" w:eastAsia="宋体" w:cs="Times New Roman"/>
                <w:color w:val="auto"/>
                <w:kern w:val="2"/>
                <w:sz w:val="21"/>
                <w:szCs w:val="21"/>
              </w:rPr>
              <w:t>02，共</w:t>
            </w:r>
            <w:r>
              <w:rPr>
                <w:rFonts w:hint="eastAsia" w:ascii="宋体" w:hAnsi="宋体" w:eastAsia="宋体" w:cs="Times New Roman"/>
                <w:color w:val="auto"/>
                <w:kern w:val="2"/>
                <w:sz w:val="21"/>
                <w:szCs w:val="21"/>
                <w:lang w:val="en-US" w:eastAsia="zh-CN"/>
              </w:rPr>
              <w:t>85</w:t>
            </w:r>
            <w:r>
              <w:rPr>
                <w:rFonts w:hint="eastAsia" w:ascii="宋体" w:hAnsi="宋体" w:eastAsia="宋体" w:cs="Times New Roman"/>
                <w:color w:val="auto"/>
                <w:kern w:val="2"/>
                <w:sz w:val="21"/>
                <w:szCs w:val="21"/>
              </w:rPr>
              <w:t>张；</w:t>
            </w:r>
            <w:r>
              <w:rPr>
                <w:rFonts w:hint="eastAsia" w:ascii="宋体" w:hAnsi="宋体" w:eastAsia="宋体" w:cs="Times New Roman"/>
                <w:color w:val="auto"/>
                <w:kern w:val="2"/>
                <w:sz w:val="21"/>
                <w:szCs w:val="21"/>
                <w:lang w:val="en-US" w:eastAsia="zh-CN"/>
              </w:rPr>
              <w:t>总电施00</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总电施06，共7张；</w:t>
            </w:r>
            <w:r>
              <w:rPr>
                <w:rFonts w:hint="eastAsia" w:ascii="宋体" w:hAnsi="宋体" w:eastAsia="宋体" w:cs="Times New Roman"/>
                <w:color w:val="auto"/>
                <w:kern w:val="2"/>
                <w:sz w:val="21"/>
                <w:szCs w:val="21"/>
              </w:rPr>
              <w:t>建施1~建施4，共4张；</w:t>
            </w:r>
            <w:r>
              <w:rPr>
                <w:rFonts w:hint="eastAsia" w:ascii="宋体" w:hAnsi="宋体" w:eastAsia="宋体" w:cs="Times New Roman"/>
                <w:color w:val="auto"/>
                <w:kern w:val="2"/>
                <w:sz w:val="21"/>
                <w:szCs w:val="21"/>
                <w:lang w:val="en-US" w:eastAsia="zh-CN"/>
              </w:rPr>
              <w:t>环结施-00</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环结施-16，共17张；结施-00A</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结施-02，共5张；水总初-01；</w:t>
            </w:r>
          </w:p>
          <w:p>
            <w:pPr>
              <w:tabs>
                <w:tab w:val="left" w:pos="540"/>
              </w:tabs>
              <w:autoSpaceDE/>
              <w:autoSpaceDN/>
              <w:adjustRightInd/>
              <w:spacing w:line="360" w:lineRule="auto"/>
              <w:ind w:left="400" w:left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弱电系统：RD-ML-00~RD-11#-07</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rPr>
              <w:t>共</w:t>
            </w:r>
            <w:r>
              <w:rPr>
                <w:rFonts w:hint="eastAsia" w:ascii="宋体" w:hAnsi="宋体" w:eastAsia="宋体" w:cs="Times New Roman"/>
                <w:color w:val="auto"/>
                <w:kern w:val="2"/>
                <w:sz w:val="21"/>
                <w:szCs w:val="21"/>
                <w:lang w:val="en-US" w:eastAsia="zh-CN"/>
              </w:rPr>
              <w:t>80</w:t>
            </w:r>
            <w:r>
              <w:rPr>
                <w:rFonts w:hint="eastAsia" w:ascii="宋体" w:hAnsi="宋体" w:eastAsia="宋体" w:cs="Times New Roman"/>
                <w:color w:val="auto"/>
                <w:kern w:val="2"/>
                <w:sz w:val="21"/>
                <w:szCs w:val="21"/>
              </w:rPr>
              <w:t>张；</w:t>
            </w:r>
          </w:p>
          <w:p>
            <w:pPr>
              <w:tabs>
                <w:tab w:val="left" w:pos="540"/>
              </w:tabs>
              <w:autoSpaceDE/>
              <w:autoSpaceDN/>
              <w:adjustRightInd/>
              <w:spacing w:line="360" w:lineRule="auto"/>
              <w:ind w:left="400" w:leftChars="0"/>
              <w:jc w:val="both"/>
              <w:rPr>
                <w:rFonts w:hint="default"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总图：电施通-01</w:t>
            </w:r>
            <w:r>
              <w:rPr>
                <w:rFonts w:hint="eastAsia" w:ascii="宋体" w:hAnsi="宋体" w:eastAsia="宋体" w:cs="Times New Roman"/>
                <w:color w:val="auto"/>
                <w:kern w:val="2"/>
                <w:sz w:val="21"/>
                <w:szCs w:val="21"/>
              </w:rPr>
              <w:t>~</w:t>
            </w:r>
            <w:r>
              <w:rPr>
                <w:rFonts w:hint="eastAsia" w:ascii="宋体" w:hAnsi="宋体" w:eastAsia="宋体" w:cs="Times New Roman"/>
                <w:color w:val="auto"/>
                <w:kern w:val="2"/>
                <w:sz w:val="21"/>
                <w:szCs w:val="21"/>
                <w:lang w:val="en-US" w:eastAsia="zh-CN"/>
              </w:rPr>
              <w:t>电施通-09，共9张；</w:t>
            </w:r>
          </w:p>
          <w:p>
            <w:pPr>
              <w:numPr>
                <w:ilvl w:val="0"/>
                <w:numId w:val="0"/>
              </w:numPr>
              <w:tabs>
                <w:tab w:val="left" w:pos="540"/>
              </w:tabs>
              <w:autoSpaceDE/>
              <w:autoSpaceDN/>
              <w:adjustRightInd/>
              <w:spacing w:line="360" w:lineRule="auto"/>
              <w:ind w:left="0" w:leftChars="0" w:firstLine="420" w:firstLineChars="200"/>
              <w:jc w:val="both"/>
              <w:rPr>
                <w:rFonts w:hint="eastAsia" w:ascii="Times New Roman" w:hAnsi="Times New Roman" w:eastAsia="宋体" w:cs="Times New Roman"/>
                <w:kern w:val="2"/>
                <w:sz w:val="21"/>
                <w:lang w:eastAsia="zh-CN"/>
              </w:rPr>
            </w:pPr>
            <w:r>
              <w:rPr>
                <w:rFonts w:hint="eastAsia" w:ascii="Times New Roman" w:hAnsi="Times New Roman" w:eastAsia="宋体" w:cs="Times New Roman"/>
                <w:kern w:val="2"/>
                <w:sz w:val="21"/>
              </w:rPr>
              <w:t>基坑围护设计图纸一份：01~</w:t>
            </w:r>
            <w:r>
              <w:rPr>
                <w:rFonts w:hint="eastAsia" w:ascii="Times New Roman" w:hAnsi="Times New Roman" w:eastAsia="宋体" w:cs="Times New Roman"/>
                <w:kern w:val="2"/>
                <w:sz w:val="21"/>
                <w:lang w:val="en-US" w:eastAsia="zh-CN"/>
              </w:rPr>
              <w:t>08</w:t>
            </w:r>
            <w:r>
              <w:rPr>
                <w:rFonts w:hint="eastAsia" w:ascii="Times New Roman" w:hAnsi="Times New Roman" w:eastAsia="宋体" w:cs="Times New Roman"/>
                <w:kern w:val="2"/>
                <w:sz w:val="21"/>
              </w:rPr>
              <w:t>，共</w:t>
            </w:r>
            <w:r>
              <w:rPr>
                <w:rFonts w:hint="eastAsia" w:ascii="Times New Roman" w:hAnsi="Times New Roman" w:eastAsia="宋体" w:cs="Times New Roman"/>
                <w:kern w:val="2"/>
                <w:sz w:val="21"/>
                <w:lang w:val="en-US" w:eastAsia="zh-CN"/>
              </w:rPr>
              <w:t>9</w:t>
            </w:r>
            <w:r>
              <w:rPr>
                <w:rFonts w:hint="eastAsia" w:ascii="Times New Roman" w:hAnsi="Times New Roman" w:eastAsia="宋体" w:cs="Times New Roman"/>
                <w:kern w:val="2"/>
                <w:sz w:val="21"/>
              </w:rPr>
              <w:t>张</w:t>
            </w:r>
            <w:r>
              <w:rPr>
                <w:rFonts w:hint="eastAsia" w:ascii="Times New Roman" w:hAnsi="Times New Roman" w:eastAsia="宋体" w:cs="Times New Roman"/>
                <w:kern w:val="2"/>
                <w:sz w:val="21"/>
                <w:lang w:eastAsia="zh-CN"/>
              </w:rPr>
              <w:t>。</w:t>
            </w:r>
          </w:p>
          <w:p>
            <w:pPr>
              <w:numPr>
                <w:ilvl w:val="0"/>
                <w:numId w:val="37"/>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Times New Roman" w:hAnsi="Times New Roman" w:eastAsia="宋体" w:cs="Times New Roman"/>
                <w:kern w:val="2"/>
                <w:sz w:val="21"/>
              </w:rPr>
              <w:t>越城区鉴湖C-1</w:t>
            </w:r>
            <w:r>
              <w:rPr>
                <w:rFonts w:hint="eastAsia" w:ascii="Times New Roman" w:hAnsi="Times New Roman" w:eastAsia="宋体" w:cs="Times New Roman"/>
                <w:kern w:val="2"/>
                <w:sz w:val="21"/>
                <w:lang w:val="en-US" w:eastAsia="zh-CN"/>
              </w:rPr>
              <w:t>2</w:t>
            </w:r>
            <w:r>
              <w:rPr>
                <w:rFonts w:hint="eastAsia" w:ascii="Times New Roman" w:hAnsi="Times New Roman" w:eastAsia="宋体" w:cs="Times New Roman"/>
                <w:kern w:val="2"/>
                <w:sz w:val="21"/>
              </w:rPr>
              <w:t>地块安置房建设工程工程岩土工程勘察报告</w:t>
            </w:r>
            <w:r>
              <w:rPr>
                <w:rFonts w:hint="eastAsia" w:ascii="宋体" w:hAnsi="宋体" w:eastAsia="宋体" w:cs="Times New Roman"/>
                <w:kern w:val="2"/>
                <w:sz w:val="21"/>
                <w:szCs w:val="21"/>
              </w:rPr>
              <w:t>。</w:t>
            </w:r>
          </w:p>
          <w:p>
            <w:pPr>
              <w:numPr>
                <w:ilvl w:val="0"/>
                <w:numId w:val="37"/>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各专业图审合格书</w:t>
            </w:r>
            <w:r>
              <w:rPr>
                <w:rFonts w:hint="eastAsia" w:ascii="宋体" w:hAnsi="宋体" w:eastAsia="宋体" w:cs="Times New Roman"/>
                <w:kern w:val="2"/>
                <w:sz w:val="21"/>
                <w:szCs w:val="21"/>
              </w:rPr>
              <w:t>、图纸设计编标答疑</w:t>
            </w:r>
            <w:r>
              <w:rPr>
                <w:rFonts w:hint="eastAsia" w:ascii="宋体" w:hAnsi="宋体" w:eastAsia="宋体" w:cs="Times New Roman"/>
                <w:kern w:val="2"/>
                <w:sz w:val="21"/>
                <w:szCs w:val="21"/>
                <w:lang w:eastAsia="zh-CN"/>
              </w:rPr>
              <w:t>，</w:t>
            </w:r>
            <w:r>
              <w:rPr>
                <w:rFonts w:hint="eastAsia" w:ascii="宋体" w:hAnsi="宋体" w:eastAsia="宋体" w:cs="Times New Roman"/>
                <w:kern w:val="2"/>
                <w:sz w:val="21"/>
                <w:szCs w:val="21"/>
                <w:lang w:val="en-US" w:eastAsia="zh-CN"/>
              </w:rPr>
              <w:t>设计概算、设计联系单</w:t>
            </w:r>
            <w:r>
              <w:rPr>
                <w:rFonts w:hint="eastAsia" w:ascii="宋体" w:hAnsi="宋体" w:eastAsia="宋体" w:cs="Times New Roman"/>
                <w:kern w:val="2"/>
                <w:sz w:val="21"/>
                <w:szCs w:val="21"/>
              </w:rPr>
              <w:t>等。</w:t>
            </w:r>
          </w:p>
          <w:p>
            <w:pPr>
              <w:tabs>
                <w:tab w:val="left" w:pos="1800"/>
              </w:tabs>
              <w:autoSpaceDE/>
              <w:autoSpaceDN/>
              <w:adjustRightInd/>
              <w:spacing w:line="360" w:lineRule="auto"/>
              <w:jc w:val="both"/>
              <w:rPr>
                <w:rFonts w:hint="eastAsia" w:ascii="宋体" w:hAnsi="宋体" w:eastAsia="宋体" w:cs="Times New Roman"/>
                <w:kern w:val="2"/>
                <w:sz w:val="21"/>
                <w:szCs w:val="21"/>
              </w:rPr>
            </w:pPr>
            <w:r>
              <w:rPr>
                <w:rFonts w:hint="eastAsia" w:ascii="宋体" w:hAnsi="宋体" w:eastAsia="宋体" w:cs="Times New Roman"/>
                <w:b/>
                <w:kern w:val="2"/>
                <w:sz w:val="21"/>
                <w:szCs w:val="21"/>
              </w:rPr>
              <w:t>（二）定额套用</w:t>
            </w:r>
            <w:r>
              <w:rPr>
                <w:rFonts w:hint="eastAsia" w:ascii="宋体" w:hAnsi="宋体" w:eastAsia="宋体" w:cs="Times New Roman"/>
                <w:kern w:val="2"/>
                <w:sz w:val="21"/>
                <w:szCs w:val="21"/>
              </w:rPr>
              <w:t>：</w:t>
            </w:r>
          </w:p>
          <w:p>
            <w:pPr>
              <w:numPr>
                <w:ilvl w:val="0"/>
                <w:numId w:val="38"/>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《建设工程工程量清单计价规范》（GB50500-2013），《房屋建筑与装饰工程工程量计算规范》（GB50854-2013），《通用安装工程工程量计算规范》（GB50856-2013）；</w:t>
            </w:r>
            <w:r>
              <w:rPr>
                <w:rFonts w:hint="eastAsia" w:ascii="宋体" w:hAnsi="宋体" w:eastAsia="宋体" w:cs="宋体"/>
                <w:kern w:val="1"/>
                <w:sz w:val="21"/>
                <w:szCs w:val="21"/>
                <w:highlight w:val="none"/>
              </w:rPr>
              <w:t>《市政工程工程量计算规范GB50857-2013》、《园林绿化工程工程量计算规范GB50858-2013》、</w:t>
            </w:r>
            <w:r>
              <w:rPr>
                <w:rFonts w:hint="eastAsia" w:ascii="宋体" w:hAnsi="宋体" w:eastAsia="宋体" w:cs="Times New Roman"/>
                <w:kern w:val="2"/>
                <w:sz w:val="21"/>
                <w:szCs w:val="21"/>
                <w:highlight w:val="none"/>
              </w:rPr>
              <w:t>《建设工程工程量计算规范（2013）浙江省补充规定》。</w:t>
            </w:r>
          </w:p>
          <w:p>
            <w:pPr>
              <w:numPr>
                <w:ilvl w:val="0"/>
                <w:numId w:val="38"/>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宋体"/>
                <w:kern w:val="1"/>
                <w:sz w:val="21"/>
                <w:szCs w:val="21"/>
                <w:highlight w:val="none"/>
              </w:rPr>
              <w:t>《浙江省建设工程工程量清单计价指引》（2013年）。</w:t>
            </w:r>
          </w:p>
          <w:p>
            <w:pPr>
              <w:numPr>
                <w:ilvl w:val="0"/>
                <w:numId w:val="38"/>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highlight w:val="none"/>
              </w:rPr>
              <w:t>《浙江省建设工程计价规则》（2018版）、《浙江省房屋建筑与装饰工程预算定额》（2018版）、《浙江省通用安装工程预算定额》（2018版）、《浙江省市政工程预算定额》（2018版）、《浙江省园林绿化及仿古建筑工程预算定额》（2018版）、《浙江省建筑安装材料基期价格》(2018版)、《浙江省建设工程施工机械台班费用定额》（2018版）、《建设工程工程量清单计价规范（GB 50500-2013）》、《建设工程工程量计算规范（2013）浙江省补充规定》、浙建建</w:t>
            </w:r>
            <w:r>
              <w:rPr>
                <w:rFonts w:hint="eastAsia" w:ascii="宋体" w:hAnsi="宋体" w:eastAsia="宋体" w:cs="Times New Roman"/>
                <w:kern w:val="2"/>
                <w:sz w:val="21"/>
                <w:szCs w:val="21"/>
                <w:highlight w:val="none"/>
                <w:lang w:eastAsia="zh-CN"/>
              </w:rPr>
              <w:t>【</w:t>
            </w:r>
            <w:r>
              <w:rPr>
                <w:rFonts w:hint="eastAsia" w:ascii="宋体" w:hAnsi="宋体" w:eastAsia="宋体" w:cs="Times New Roman"/>
                <w:kern w:val="2"/>
                <w:sz w:val="21"/>
                <w:szCs w:val="21"/>
                <w:highlight w:val="none"/>
              </w:rPr>
              <w:t>2018</w:t>
            </w:r>
            <w:r>
              <w:rPr>
                <w:rFonts w:hint="eastAsia" w:ascii="宋体" w:hAnsi="宋体" w:eastAsia="宋体" w:cs="Times New Roman"/>
                <w:kern w:val="2"/>
                <w:sz w:val="21"/>
                <w:szCs w:val="21"/>
                <w:highlight w:val="none"/>
                <w:lang w:eastAsia="zh-CN"/>
              </w:rPr>
              <w:t>】</w:t>
            </w:r>
            <w:r>
              <w:rPr>
                <w:rFonts w:hint="eastAsia" w:ascii="宋体" w:hAnsi="宋体" w:eastAsia="宋体" w:cs="Times New Roman"/>
                <w:kern w:val="2"/>
                <w:sz w:val="21"/>
                <w:szCs w:val="21"/>
                <w:highlight w:val="none"/>
              </w:rPr>
              <w:t>61号等。</w:t>
            </w:r>
          </w:p>
          <w:p>
            <w:pPr>
              <w:autoSpaceDE/>
              <w:autoSpaceDN/>
              <w:adjustRightInd/>
              <w:spacing w:line="360" w:lineRule="auto"/>
              <w:jc w:val="both"/>
              <w:rPr>
                <w:rFonts w:hint="eastAsia" w:ascii="宋体" w:hAnsi="宋体" w:eastAsia="宋体" w:cs="Times New Roman"/>
                <w:b/>
                <w:kern w:val="2"/>
                <w:sz w:val="21"/>
                <w:szCs w:val="21"/>
              </w:rPr>
            </w:pPr>
            <w:r>
              <w:rPr>
                <w:rFonts w:hint="eastAsia" w:ascii="宋体" w:hAnsi="宋体" w:eastAsia="宋体" w:cs="Times New Roman"/>
                <w:b/>
                <w:kern w:val="2"/>
                <w:sz w:val="21"/>
                <w:szCs w:val="21"/>
              </w:rPr>
              <w:t>（三）费用计取：</w:t>
            </w:r>
          </w:p>
          <w:p>
            <w:pPr>
              <w:numPr>
                <w:ilvl w:val="0"/>
                <w:numId w:val="39"/>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本工程采用增值税一般计税法。</w:t>
            </w:r>
          </w:p>
          <w:p>
            <w:pPr>
              <w:numPr>
                <w:ilvl w:val="0"/>
                <w:numId w:val="39"/>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highlight w:val="none"/>
                <w:lang w:val="en-US" w:eastAsia="zh-CN"/>
              </w:rPr>
              <w:t>土建：2#、6#、7#、8#、9#、10#、配电房、开关站、垃圾房：</w:t>
            </w:r>
            <w:r>
              <w:rPr>
                <w:rFonts w:hint="eastAsia" w:ascii="宋体" w:hAnsi="宋体" w:eastAsia="宋体" w:cs="Times New Roman"/>
                <w:kern w:val="2"/>
                <w:sz w:val="21"/>
                <w:szCs w:val="21"/>
                <w:lang w:val="en-US" w:eastAsia="zh-CN"/>
              </w:rPr>
              <w:t>管理费费率按</w:t>
            </w:r>
            <w:r>
              <w:rPr>
                <w:rFonts w:hint="eastAsia" w:ascii="宋体" w:hAnsi="宋体" w:eastAsia="宋体" w:cs="Times New Roman"/>
                <w:kern w:val="2"/>
                <w:sz w:val="21"/>
                <w:szCs w:val="21"/>
              </w:rPr>
              <w:t>房屋建筑及构筑物工程中值计取（PC率小于20%）</w:t>
            </w:r>
            <w:r>
              <w:rPr>
                <w:rFonts w:hint="eastAsia" w:ascii="宋体" w:hAnsi="宋体" w:eastAsia="宋体" w:cs="Times New Roman"/>
                <w:kern w:val="2"/>
                <w:sz w:val="21"/>
                <w:szCs w:val="21"/>
                <w:lang w:val="en-US" w:eastAsia="zh-CN"/>
              </w:rPr>
              <w:t>；安全生产责任保险费按</w:t>
            </w:r>
            <w:r>
              <w:rPr>
                <w:rFonts w:hint="eastAsia" w:ascii="宋体" w:hAnsi="宋体" w:eastAsia="宋体" w:cs="Times New Roman"/>
                <w:color w:val="auto"/>
                <w:kern w:val="2"/>
                <w:sz w:val="21"/>
                <w:szCs w:val="21"/>
                <w:lang w:val="en-US" w:eastAsia="zh-CN"/>
              </w:rPr>
              <w:t>3亿以上档次</w:t>
            </w:r>
            <w:r>
              <w:rPr>
                <w:rFonts w:hint="eastAsia" w:ascii="宋体" w:hAnsi="宋体" w:eastAsia="宋体" w:cs="Times New Roman"/>
                <w:kern w:val="2"/>
                <w:sz w:val="21"/>
                <w:szCs w:val="21"/>
                <w:lang w:val="en-US" w:eastAsia="zh-CN"/>
              </w:rPr>
              <w:t>计入；利润按</w:t>
            </w:r>
            <w:r>
              <w:rPr>
                <w:rFonts w:hint="eastAsia" w:ascii="宋体" w:hAnsi="宋体" w:eastAsia="宋体" w:cs="Times New Roman"/>
                <w:kern w:val="2"/>
                <w:sz w:val="21"/>
                <w:szCs w:val="21"/>
              </w:rPr>
              <w:t>房屋建筑及构筑物工程中值</w:t>
            </w:r>
            <w:r>
              <w:rPr>
                <w:rFonts w:hint="eastAsia" w:ascii="宋体" w:hAnsi="宋体" w:eastAsia="宋体" w:cs="Times New Roman"/>
                <w:kern w:val="2"/>
                <w:sz w:val="21"/>
                <w:szCs w:val="21"/>
                <w:lang w:val="en-US" w:eastAsia="zh-CN"/>
              </w:rPr>
              <w:t>计取；施工组织措施费费率仅计取安全文明施工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kern w:val="2"/>
                <w:sz w:val="21"/>
                <w:szCs w:val="21"/>
                <w:lang w:val="en-US" w:eastAsia="zh-CN"/>
              </w:rPr>
              <w:t>费（含疫情常态化防控，“智慧工地”增加费），其中安全文明施工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kern w:val="2"/>
                <w:sz w:val="21"/>
                <w:szCs w:val="21"/>
                <w:lang w:val="en-US" w:eastAsia="zh-CN"/>
              </w:rPr>
              <w:t>费采用</w:t>
            </w:r>
            <w:r>
              <w:rPr>
                <w:rFonts w:hint="eastAsia" w:ascii="宋体" w:hAnsi="宋体" w:eastAsia="宋体" w:cs="Times New Roman"/>
                <w:kern w:val="2"/>
                <w:sz w:val="21"/>
                <w:szCs w:val="21"/>
              </w:rPr>
              <w:t>房屋建筑及构筑物工程</w:t>
            </w:r>
            <w:r>
              <w:rPr>
                <w:rFonts w:hint="eastAsia" w:ascii="宋体" w:hAnsi="宋体" w:eastAsia="宋体" w:cs="Times New Roman"/>
                <w:kern w:val="2"/>
                <w:sz w:val="21"/>
                <w:szCs w:val="21"/>
                <w:lang w:val="en-US" w:eastAsia="zh-CN"/>
              </w:rPr>
              <w:t>市区工程</w:t>
            </w:r>
            <w:r>
              <w:rPr>
                <w:rFonts w:hint="eastAsia" w:ascii="宋体" w:hAnsi="宋体" w:eastAsia="宋体" w:cs="Times New Roman"/>
                <w:kern w:val="2"/>
                <w:sz w:val="21"/>
                <w:szCs w:val="21"/>
              </w:rPr>
              <w:t>中值</w:t>
            </w:r>
            <w:r>
              <w:rPr>
                <w:rFonts w:hint="eastAsia" w:ascii="宋体" w:hAnsi="宋体" w:eastAsia="宋体" w:cs="Times New Roman"/>
                <w:kern w:val="2"/>
                <w:sz w:val="21"/>
                <w:szCs w:val="21"/>
                <w:lang w:val="en-US" w:eastAsia="zh-CN"/>
              </w:rPr>
              <w:t>计取；规费按《浙江省建设工程计价规则》（2018版）规定的100%计取；税金按9%计取。</w:t>
            </w:r>
          </w:p>
          <w:p>
            <w:pPr>
              <w:autoSpaceDE/>
              <w:autoSpaceDN/>
              <w:adjustRightInd/>
              <w:spacing w:line="360" w:lineRule="auto"/>
              <w:ind w:firstLine="420" w:firstLineChars="20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highlight w:val="none"/>
                <w:lang w:val="en-US" w:eastAsia="zh-CN"/>
              </w:rPr>
              <w:t>1#、3#、4#、5#、11#：</w:t>
            </w:r>
            <w:r>
              <w:rPr>
                <w:rFonts w:hint="eastAsia" w:ascii="宋体" w:hAnsi="宋体" w:eastAsia="宋体" w:cs="Times New Roman"/>
                <w:color w:val="auto"/>
                <w:kern w:val="2"/>
                <w:sz w:val="21"/>
                <w:szCs w:val="21"/>
                <w:lang w:val="en-US" w:eastAsia="zh-CN"/>
              </w:rPr>
              <w:t>管理费费率按房屋建筑及构筑物工程中值计取（PC率20%及20以上至30%以内）；安全生产责任保险费按3亿以上档次计入；利润按采用装配整体式混凝土结构工程市区20%及20以上至30%以内的中值计取；施工组织措施费费率仅计取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color w:val="auto"/>
                <w:kern w:val="2"/>
                <w:sz w:val="21"/>
                <w:szCs w:val="21"/>
                <w:lang w:val="en-US" w:eastAsia="zh-CN"/>
              </w:rPr>
              <w:t>费（含疫情常态化防控，“智慧工地”增加费），其中安全文明施工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color w:val="auto"/>
                <w:kern w:val="2"/>
                <w:sz w:val="21"/>
                <w:szCs w:val="21"/>
                <w:lang w:val="en-US" w:eastAsia="zh-CN"/>
              </w:rPr>
              <w:t>费按采用装配整体式混凝土结构工程市区20%及20以上至30%以内的中值计取；规费按装配整体式混凝土结构工程市区20%及20以上至30%以内费率的100%计取；税金按9%计取。</w:t>
            </w:r>
          </w:p>
          <w:p>
            <w:pPr>
              <w:autoSpaceDE/>
              <w:autoSpaceDN/>
              <w:adjustRightInd/>
              <w:spacing w:line="360" w:lineRule="auto"/>
              <w:ind w:firstLine="420" w:firstLineChars="20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highlight w:val="none"/>
                <w:lang w:val="en-US" w:eastAsia="zh-CN"/>
              </w:rPr>
              <w:t>地下室、围护工程、桩基工程、景观门廊：按1#-11#、</w:t>
            </w:r>
            <w:r>
              <w:rPr>
                <w:rFonts w:hint="eastAsia" w:ascii="宋体" w:hAnsi="宋体" w:eastAsia="宋体" w:cs="Times New Roman"/>
                <w:kern w:val="2"/>
                <w:sz w:val="21"/>
                <w:szCs w:val="21"/>
                <w:highlight w:val="none"/>
                <w:lang w:val="en-US" w:eastAsia="zh-CN"/>
              </w:rPr>
              <w:t>配电房、开关站、垃圾房</w:t>
            </w:r>
            <w:r>
              <w:rPr>
                <w:rFonts w:hint="eastAsia" w:ascii="宋体" w:hAnsi="宋体" w:eastAsia="宋体" w:cs="Times New Roman"/>
                <w:color w:val="auto"/>
                <w:kern w:val="2"/>
                <w:sz w:val="21"/>
                <w:szCs w:val="21"/>
                <w:highlight w:val="none"/>
                <w:lang w:val="en-US" w:eastAsia="zh-CN"/>
              </w:rPr>
              <w:t>的费率和每栋单体对应的地上建筑面积所确定的权数以加权平均的方法进行确定，其中管理费费率按17.23%计取；安全生产责任保险费按3亿以上档次计入；利润按8.42%计取；安全文明施工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color w:val="auto"/>
                <w:kern w:val="2"/>
                <w:sz w:val="21"/>
                <w:szCs w:val="21"/>
                <w:highlight w:val="none"/>
                <w:lang w:val="en-US" w:eastAsia="zh-CN"/>
              </w:rPr>
              <w:t>费按11.38%计取；规费按26.81%</w:t>
            </w:r>
            <w:r>
              <w:rPr>
                <w:rFonts w:hint="eastAsia" w:ascii="宋体" w:hAnsi="宋体" w:eastAsia="宋体" w:cs="Times New Roman"/>
                <w:color w:val="auto"/>
                <w:kern w:val="2"/>
                <w:sz w:val="21"/>
                <w:szCs w:val="21"/>
                <w:lang w:val="en-US" w:eastAsia="zh-CN"/>
              </w:rPr>
              <w:t>计取；税金按9%计取。</w:t>
            </w:r>
          </w:p>
          <w:p>
            <w:pPr>
              <w:autoSpaceDE/>
              <w:autoSpaceDN/>
              <w:adjustRightInd/>
              <w:spacing w:line="360" w:lineRule="auto"/>
              <w:ind w:firstLine="420" w:firstLineChars="20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安装：管理费费率按水、电、暖通、消防、智能、自控及通信安装工程中值计取；安全生产责任保险费按3亿以上档次计入；利润按水、电、暖通、消防、智能、自控及通信安装工程中值计取；施工组织措施费费率仅计取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color w:val="auto"/>
                <w:kern w:val="2"/>
                <w:sz w:val="21"/>
                <w:szCs w:val="21"/>
                <w:lang w:val="en-US" w:eastAsia="zh-CN"/>
              </w:rPr>
              <w:t>费（含疫情常态化防控，“智慧工地”增加费），其中安全文明施工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color w:val="auto"/>
                <w:kern w:val="2"/>
                <w:sz w:val="21"/>
                <w:szCs w:val="21"/>
                <w:lang w:val="en-US" w:eastAsia="zh-CN"/>
              </w:rPr>
              <w:t>费按采用水、电、暖通、消防、智能、自控及通信安装工程</w:t>
            </w:r>
            <w:r>
              <w:rPr>
                <w:rFonts w:hint="eastAsia" w:ascii="宋体" w:hAnsi="宋体" w:eastAsia="宋体" w:cs="Times New Roman"/>
                <w:kern w:val="2"/>
                <w:sz w:val="21"/>
                <w:szCs w:val="21"/>
                <w:lang w:val="en-US" w:eastAsia="zh-CN"/>
              </w:rPr>
              <w:t>市区工程</w:t>
            </w:r>
            <w:r>
              <w:rPr>
                <w:rFonts w:hint="eastAsia" w:ascii="宋体" w:hAnsi="宋体" w:eastAsia="宋体" w:cs="Times New Roman"/>
                <w:color w:val="auto"/>
                <w:kern w:val="2"/>
                <w:sz w:val="21"/>
                <w:szCs w:val="21"/>
                <w:lang w:val="en-US" w:eastAsia="zh-CN"/>
              </w:rPr>
              <w:t>中值计取；规费按《浙江省建设工程计价规则》（2018版）规定的100%计取；税金按9%计取。</w:t>
            </w:r>
          </w:p>
          <w:p>
            <w:pPr>
              <w:autoSpaceDE/>
              <w:autoSpaceDN/>
              <w:adjustRightInd/>
              <w:spacing w:line="360" w:lineRule="auto"/>
              <w:ind w:firstLine="420" w:firstLineChars="20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场外景观绿化：管理费费率按园林绿化及景观工程中值计取；安全生产责任保险费按3亿以上档次计入；利润按园林绿化及景观工程中值计取；施工组织措施费费率仅计取安全文明施工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color w:val="auto"/>
                <w:kern w:val="2"/>
                <w:sz w:val="21"/>
                <w:szCs w:val="21"/>
                <w:lang w:val="en-US" w:eastAsia="zh-CN"/>
              </w:rPr>
              <w:t>费（含疫情常态化防控，“智慧工地”增加费），其中安全文明施工</w:t>
            </w:r>
            <w:r>
              <w:rPr>
                <w:rFonts w:hint="eastAsia" w:ascii="Times New Roman" w:hAnsi="Times New Roman" w:eastAsia="宋体" w:cs="Times New Roman"/>
                <w:kern w:val="2"/>
                <w:sz w:val="21"/>
                <w:lang w:val="en-US" w:eastAsia="zh-CN"/>
              </w:rPr>
              <w:t>基本</w:t>
            </w:r>
            <w:r>
              <w:rPr>
                <w:rFonts w:hint="eastAsia" w:ascii="宋体" w:hAnsi="宋体" w:eastAsia="宋体" w:cs="Times New Roman"/>
                <w:color w:val="auto"/>
                <w:kern w:val="2"/>
                <w:sz w:val="21"/>
                <w:szCs w:val="21"/>
                <w:lang w:val="en-US" w:eastAsia="zh-CN"/>
              </w:rPr>
              <w:t>费按采用园林绿化及景观工程</w:t>
            </w:r>
            <w:r>
              <w:rPr>
                <w:rFonts w:hint="eastAsia" w:ascii="宋体" w:hAnsi="宋体" w:eastAsia="宋体" w:cs="Times New Roman"/>
                <w:kern w:val="2"/>
                <w:sz w:val="21"/>
                <w:szCs w:val="21"/>
                <w:lang w:val="en-US" w:eastAsia="zh-CN"/>
              </w:rPr>
              <w:t>市区工程</w:t>
            </w:r>
            <w:r>
              <w:rPr>
                <w:rFonts w:hint="eastAsia" w:ascii="宋体" w:hAnsi="宋体" w:eastAsia="宋体" w:cs="Times New Roman"/>
                <w:color w:val="auto"/>
                <w:kern w:val="2"/>
                <w:sz w:val="21"/>
                <w:szCs w:val="21"/>
                <w:lang w:val="en-US" w:eastAsia="zh-CN"/>
              </w:rPr>
              <w:t>中值计取；规费按《浙江省建设工程计价规则》（2018版）规定的100%计取；税金按9%计取。</w:t>
            </w:r>
          </w:p>
          <w:p>
            <w:pPr>
              <w:autoSpaceDE/>
              <w:autoSpaceDN/>
              <w:adjustRightInd/>
              <w:spacing w:line="360" w:lineRule="auto"/>
              <w:ind w:firstLine="420" w:firstLineChars="200"/>
              <w:jc w:val="both"/>
              <w:rPr>
                <w:rFonts w:hint="default"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排水工程：管理费费率按道路、排水、河道护岸、水处理构筑物及城市综合管廊、生活垃圾处理工程中值计取；安全生产责任保险费按</w:t>
            </w:r>
            <w:r>
              <w:rPr>
                <w:rFonts w:hint="eastAsia" w:ascii="宋体" w:hAnsi="宋体" w:eastAsia="宋体" w:cs="Times New Roman"/>
                <w:color w:val="auto"/>
                <w:kern w:val="2"/>
                <w:sz w:val="21"/>
                <w:szCs w:val="21"/>
                <w:lang w:val="en-US" w:eastAsia="zh-CN"/>
              </w:rPr>
              <w:t>3亿以上档次</w:t>
            </w:r>
            <w:r>
              <w:rPr>
                <w:rFonts w:hint="eastAsia" w:ascii="宋体" w:hAnsi="宋体" w:eastAsia="宋体" w:cs="Times New Roman"/>
                <w:color w:val="auto"/>
                <w:kern w:val="2"/>
                <w:sz w:val="21"/>
                <w:szCs w:val="21"/>
                <w:highlight w:val="none"/>
                <w:lang w:val="en-US" w:eastAsia="zh-CN"/>
              </w:rPr>
              <w:t>计入；利润按道路、排水、河道护岸、水处理构筑物及城市综合管廊、生活垃圾处理工程中值计取；施工组织措施费费率仅计取安全文明施工基本费（含疫情常态化防控，“智慧工地”增加费），其中安全文明施工基本费按市政土建工程</w:t>
            </w:r>
            <w:r>
              <w:rPr>
                <w:rFonts w:hint="eastAsia" w:ascii="宋体" w:hAnsi="宋体" w:eastAsia="宋体" w:cs="Times New Roman"/>
                <w:kern w:val="2"/>
                <w:sz w:val="21"/>
                <w:szCs w:val="21"/>
                <w:lang w:val="en-US" w:eastAsia="zh-CN"/>
              </w:rPr>
              <w:t>市区工程</w:t>
            </w:r>
            <w:r>
              <w:rPr>
                <w:rFonts w:hint="eastAsia" w:ascii="宋体" w:hAnsi="宋体" w:eastAsia="宋体" w:cs="Times New Roman"/>
                <w:color w:val="auto"/>
                <w:kern w:val="2"/>
                <w:sz w:val="21"/>
                <w:szCs w:val="21"/>
                <w:highlight w:val="none"/>
                <w:lang w:val="en-US" w:eastAsia="zh-CN"/>
              </w:rPr>
              <w:t>中值计取（市区工程）；规费按《浙江省建设工程计价规则》（2018版）规定的100%计取；税金按9%计取。</w:t>
            </w:r>
          </w:p>
          <w:p>
            <w:pPr>
              <w:numPr>
                <w:ilvl w:val="0"/>
                <w:numId w:val="39"/>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农民工工伤保险费已包含在标底报价内，中标单位需按绍政办发【2007】100号文件规定缴纳。如遇政策性文件调整，需做相应调整。</w:t>
            </w:r>
          </w:p>
          <w:p>
            <w:pPr>
              <w:autoSpaceDE/>
              <w:autoSpaceDN/>
              <w:adjustRightInd/>
              <w:spacing w:line="360" w:lineRule="auto"/>
              <w:jc w:val="both"/>
              <w:rPr>
                <w:rFonts w:hint="eastAsia" w:ascii="宋体" w:hAnsi="宋体" w:eastAsia="宋体" w:cs="Times New Roman"/>
                <w:b/>
                <w:bCs/>
                <w:kern w:val="2"/>
                <w:sz w:val="21"/>
                <w:szCs w:val="21"/>
              </w:rPr>
            </w:pPr>
            <w:r>
              <w:rPr>
                <w:rFonts w:hint="eastAsia" w:ascii="宋体" w:hAnsi="宋体" w:eastAsia="宋体" w:cs="Times New Roman"/>
                <w:b/>
                <w:bCs/>
                <w:kern w:val="2"/>
                <w:sz w:val="21"/>
                <w:szCs w:val="21"/>
              </w:rPr>
              <w:t>（四）所选用材料的计价依据：</w:t>
            </w:r>
          </w:p>
          <w:p>
            <w:pPr>
              <w:numPr>
                <w:ilvl w:val="0"/>
                <w:numId w:val="40"/>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材料价格：主要材料信息价格依次按2024年第2期《绍兴市建设工程造价管理信息》、《浙江造价管理信息》、《浙江质监与造价》）及市场调查价计入，其中水泥按散装计取（实际使用不同，结算不作调整）。</w:t>
            </w:r>
          </w:p>
          <w:p>
            <w:pPr>
              <w:numPr>
                <w:ilvl w:val="0"/>
                <w:numId w:val="40"/>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人工单价</w:t>
            </w:r>
            <w:r>
              <w:rPr>
                <w:rFonts w:hint="eastAsia" w:ascii="宋体" w:hAnsi="宋体" w:eastAsia="宋体" w:cs="Times New Roman"/>
                <w:kern w:val="2"/>
                <w:sz w:val="21"/>
                <w:szCs w:val="21"/>
                <w:lang w:val="en-US" w:eastAsia="zh-CN"/>
              </w:rPr>
              <w:t>:</w:t>
            </w:r>
            <w:r>
              <w:rPr>
                <w:rFonts w:hint="eastAsia" w:ascii="宋体" w:hAnsi="宋体" w:eastAsia="宋体" w:cs="Times New Roman"/>
                <w:kern w:val="2"/>
                <w:sz w:val="21"/>
                <w:szCs w:val="21"/>
              </w:rPr>
              <w:t>人工单价（包括机械人工单价）按202</w:t>
            </w:r>
            <w:r>
              <w:rPr>
                <w:rFonts w:hint="eastAsia" w:ascii="宋体" w:hAnsi="宋体" w:eastAsia="宋体" w:cs="Times New Roman"/>
                <w:kern w:val="2"/>
                <w:sz w:val="21"/>
                <w:szCs w:val="21"/>
                <w:lang w:val="en-US" w:eastAsia="zh-CN"/>
              </w:rPr>
              <w:t>4</w:t>
            </w:r>
            <w:r>
              <w:rPr>
                <w:rFonts w:hint="eastAsia" w:ascii="宋体" w:hAnsi="宋体" w:eastAsia="宋体" w:cs="Times New Roman"/>
                <w:kern w:val="2"/>
                <w:sz w:val="21"/>
                <w:szCs w:val="21"/>
              </w:rPr>
              <w:t>年</w:t>
            </w:r>
            <w:r>
              <w:rPr>
                <w:rFonts w:hint="eastAsia" w:ascii="宋体" w:hAnsi="宋体" w:eastAsia="宋体" w:cs="Times New Roman"/>
                <w:kern w:val="2"/>
                <w:sz w:val="21"/>
                <w:szCs w:val="21"/>
                <w:lang w:val="en-US" w:eastAsia="zh-CN"/>
              </w:rPr>
              <w:t>2</w:t>
            </w:r>
            <w:r>
              <w:rPr>
                <w:rFonts w:hint="eastAsia" w:ascii="宋体" w:hAnsi="宋体" w:eastAsia="宋体" w:cs="Times New Roman"/>
                <w:kern w:val="2"/>
                <w:sz w:val="21"/>
                <w:szCs w:val="21"/>
              </w:rPr>
              <w:t>月份《绍兴市建设工程造价管理信息价》中的人工市场信息价进行补差，计取税金。</w:t>
            </w:r>
          </w:p>
          <w:p>
            <w:pPr>
              <w:numPr>
                <w:ilvl w:val="0"/>
                <w:numId w:val="40"/>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本工程所有砂浆均按干混砂浆计取。</w:t>
            </w:r>
          </w:p>
          <w:p>
            <w:pPr>
              <w:numPr>
                <w:ilvl w:val="0"/>
                <w:numId w:val="40"/>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定价材料”详见附表，投标人在投标报价时自行考虑，结算时定价部分材料按投标报价不做调整。工程主要材料、设备（用器具）品牌，定价材料表中有品牌型号要求的，标底定价参考附表中列出的品牌综合考虑，请投标单位投标报价时自行考虑。实际施工时投标单位可根据自身情况在附表中列出的品牌中任选一个，也可以选择规格、技术参数性能指标、品牌档次优（高）于附表中列举的其他品牌，但所选品牌均须经建设单位确认，型号、规格和各项技术参数性能必须严格按照设计图纸的要求及有关规范的要求选择，采购前须经建设单位看样订货，并满足建设单位的使用要求。</w:t>
            </w:r>
          </w:p>
          <w:p>
            <w:pPr>
              <w:numPr>
                <w:ilvl w:val="0"/>
                <w:numId w:val="40"/>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“综合价”包括主辅材、材料制作、安装费、运输损耗及定额损耗等各种损耗、运输费、采保费、管理费、利润、规费等所有因素的相关费用，未包括税金。</w:t>
            </w:r>
          </w:p>
          <w:p>
            <w:pPr>
              <w:numPr>
                <w:ilvl w:val="0"/>
                <w:numId w:val="40"/>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“材料价”包括材料、运输损耗、运输费、采保费、管理费、利润等所有因素的相关费用，未包括税金。</w:t>
            </w:r>
          </w:p>
          <w:p>
            <w:pPr>
              <w:numPr>
                <w:ilvl w:val="0"/>
                <w:numId w:val="40"/>
              </w:numPr>
              <w:tabs>
                <w:tab w:val="left" w:pos="540"/>
              </w:tabs>
              <w:autoSpaceDE/>
              <w:autoSpaceDN/>
              <w:adjustRightInd/>
              <w:spacing w:line="360" w:lineRule="auto"/>
              <w:ind w:left="0" w:leftChars="0" w:firstLine="283"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“暂定价”包括主辅材、材料制作、安装费、运输损耗、定额损耗等各种损耗及运输费、采保费、管理费、利润、规费、税金等一切相关费用。投标时不作下浮。结算时由</w:t>
            </w:r>
            <w:r>
              <w:rPr>
                <w:rFonts w:hint="eastAsia" w:ascii="宋体" w:hAnsi="宋体" w:eastAsia="宋体" w:cs="Times New Roman"/>
                <w:kern w:val="2"/>
                <w:sz w:val="21"/>
                <w:szCs w:val="21"/>
                <w:lang w:eastAsia="zh-CN"/>
              </w:rPr>
              <w:t>建设单位</w:t>
            </w:r>
            <w:r>
              <w:rPr>
                <w:rFonts w:hint="eastAsia" w:ascii="宋体" w:hAnsi="宋体" w:eastAsia="宋体" w:cs="Times New Roman"/>
                <w:kern w:val="2"/>
                <w:sz w:val="21"/>
                <w:szCs w:val="21"/>
              </w:rPr>
              <w:t>签证为准。</w:t>
            </w:r>
          </w:p>
          <w:p>
            <w:pPr>
              <w:autoSpaceDE/>
              <w:autoSpaceDN/>
              <w:adjustRightInd/>
              <w:spacing w:line="360" w:lineRule="auto"/>
              <w:jc w:val="both"/>
              <w:rPr>
                <w:rFonts w:hint="eastAsia" w:ascii="宋体" w:hAnsi="宋体" w:eastAsia="宋体" w:cs="Times New Roman"/>
                <w:kern w:val="2"/>
                <w:sz w:val="21"/>
                <w:szCs w:val="21"/>
              </w:rPr>
            </w:pPr>
            <w:r>
              <w:rPr>
                <w:rFonts w:hint="eastAsia" w:ascii="宋体" w:hAnsi="宋体" w:eastAsia="宋体" w:cs="Times New Roman"/>
                <w:b/>
                <w:bCs/>
                <w:kern w:val="2"/>
                <w:sz w:val="21"/>
                <w:szCs w:val="21"/>
              </w:rPr>
              <w:t>（五）</w:t>
            </w:r>
            <w:r>
              <w:rPr>
                <w:rFonts w:hint="eastAsia" w:ascii="宋体" w:hAnsi="宋体" w:eastAsia="宋体" w:cs="Times New Roman"/>
                <w:bCs/>
                <w:kern w:val="2"/>
                <w:sz w:val="21"/>
                <w:szCs w:val="21"/>
              </w:rPr>
              <w:t>部分设备、材料的品牌、生产厂家由招标人指定，详见附件中的</w:t>
            </w:r>
            <w:r>
              <w:rPr>
                <w:rFonts w:hint="eastAsia" w:ascii="宋体" w:hAnsi="宋体" w:eastAsia="宋体" w:cs="Times New Roman"/>
                <w:bCs/>
                <w:kern w:val="2"/>
                <w:sz w:val="21"/>
                <w:szCs w:val="21"/>
                <w:lang w:eastAsia="zh-CN"/>
              </w:rPr>
              <w:t>建设单位</w:t>
            </w:r>
            <w:r>
              <w:rPr>
                <w:rFonts w:hint="eastAsia" w:ascii="宋体" w:hAnsi="宋体" w:eastAsia="宋体" w:cs="Times New Roman"/>
                <w:bCs/>
                <w:kern w:val="2"/>
                <w:sz w:val="21"/>
                <w:szCs w:val="21"/>
              </w:rPr>
              <w:t>定牌／定价材料一览表.本标底中所注部分设备材料的规格、型号为招标人指定品牌中的某一品牌的规格、型号，仅供投标人参考，投标人可根据自身情况在招标人指定品牌中任选一个品牌报价，所选品牌的型号、规格和各项技术参数性能必须严格按照设计图纸的要求及有关规范的要求选择，并满足</w:t>
            </w:r>
            <w:r>
              <w:rPr>
                <w:rFonts w:hint="eastAsia" w:ascii="宋体" w:hAnsi="宋体" w:eastAsia="宋体" w:cs="Times New Roman"/>
                <w:kern w:val="2"/>
                <w:sz w:val="21"/>
                <w:szCs w:val="21"/>
                <w:lang w:val="en-US" w:eastAsia="zh-CN"/>
              </w:rPr>
              <w:t>建设单位</w:t>
            </w:r>
            <w:r>
              <w:rPr>
                <w:rFonts w:hint="eastAsia" w:ascii="宋体" w:hAnsi="宋体" w:eastAsia="宋体" w:cs="Times New Roman"/>
                <w:bCs/>
                <w:kern w:val="2"/>
                <w:sz w:val="21"/>
                <w:szCs w:val="21"/>
              </w:rPr>
              <w:t>的使用要求。</w:t>
            </w:r>
          </w:p>
          <w:p>
            <w:pPr>
              <w:autoSpaceDE/>
              <w:autoSpaceDN/>
              <w:adjustRightInd/>
              <w:spacing w:line="360" w:lineRule="auto"/>
              <w:jc w:val="both"/>
              <w:rPr>
                <w:rFonts w:hint="eastAsia" w:ascii="Times New Roman" w:hAnsi="Times New Roman" w:eastAsia="宋体" w:cs="Times New Roman"/>
                <w:kern w:val="16"/>
                <w:sz w:val="21"/>
                <w:szCs w:val="21"/>
              </w:rPr>
            </w:pPr>
            <w:r>
              <w:rPr>
                <w:rFonts w:hint="eastAsia" w:ascii="Times New Roman" w:hAnsi="Times New Roman" w:eastAsia="宋体" w:cs="Times New Roman"/>
                <w:b/>
                <w:bCs/>
                <w:kern w:val="2"/>
                <w:sz w:val="21"/>
                <w:szCs w:val="21"/>
              </w:rPr>
              <w:t>（六）本</w:t>
            </w:r>
            <w:r>
              <w:rPr>
                <w:rFonts w:hint="eastAsia" w:ascii="Times New Roman" w:hAnsi="Times New Roman" w:eastAsia="宋体" w:cs="Times New Roman"/>
                <w:b/>
                <w:bCs/>
                <w:kern w:val="2"/>
                <w:sz w:val="21"/>
                <w:szCs w:val="21"/>
                <w:lang w:val="en-US" w:eastAsia="zh-CN"/>
              </w:rPr>
              <w:t>标底</w:t>
            </w:r>
            <w:r>
              <w:rPr>
                <w:rFonts w:hint="eastAsia" w:ascii="Times New Roman" w:hAnsi="Times New Roman" w:eastAsia="宋体" w:cs="Times New Roman"/>
                <w:b/>
                <w:bCs/>
                <w:kern w:val="2"/>
                <w:sz w:val="21"/>
                <w:szCs w:val="21"/>
              </w:rPr>
              <w:t>的计价方式：</w:t>
            </w:r>
            <w:r>
              <w:rPr>
                <w:rFonts w:hint="eastAsia" w:ascii="Times New Roman" w:hAnsi="Times New Roman" w:eastAsia="宋体" w:cs="Times New Roman"/>
                <w:kern w:val="16"/>
                <w:sz w:val="21"/>
                <w:szCs w:val="21"/>
              </w:rPr>
              <w:t>采用综合单价（13国标清单）计价。</w:t>
            </w:r>
          </w:p>
          <w:p>
            <w:pPr>
              <w:autoSpaceDE/>
              <w:autoSpaceDN/>
              <w:adjustRightInd/>
              <w:spacing w:line="360" w:lineRule="auto"/>
              <w:jc w:val="both"/>
              <w:rPr>
                <w:rFonts w:hint="eastAsia"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（七）标底编制的其他事项：</w:t>
            </w:r>
          </w:p>
          <w:p>
            <w:pPr>
              <w:autoSpaceDE/>
              <w:autoSpaceDN/>
              <w:adjustRightInd/>
              <w:spacing w:line="360" w:lineRule="auto"/>
              <w:jc w:val="both"/>
              <w:rPr>
                <w:rFonts w:hint="eastAsia"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 xml:space="preserve">  A、共性部分</w:t>
            </w:r>
          </w:p>
          <w:p>
            <w:pPr>
              <w:numPr>
                <w:ilvl w:val="0"/>
                <w:numId w:val="41"/>
              </w:numPr>
              <w:tabs>
                <w:tab w:val="left" w:pos="540"/>
              </w:tabs>
              <w:autoSpaceDE/>
              <w:autoSpaceDN/>
              <w:adjustRightInd/>
              <w:spacing w:line="500" w:lineRule="exact"/>
              <w:ind w:left="0" w:leftChars="0" w:firstLine="284" w:firstLineChars="0"/>
              <w:jc w:val="both"/>
              <w:rPr>
                <w:rFonts w:hint="eastAsia" w:ascii="宋体" w:hAnsi="宋体" w:eastAsia="宋体" w:cs="宋体"/>
                <w:color w:val="auto"/>
                <w:kern w:val="1"/>
                <w:sz w:val="21"/>
                <w:szCs w:val="21"/>
              </w:rPr>
            </w:pPr>
            <w:r>
              <w:rPr>
                <w:rFonts w:hint="eastAsia" w:ascii="Times New Roman" w:hAnsi="Times New Roman" w:eastAsia="宋体" w:cs="Times New Roman"/>
                <w:color w:val="auto"/>
                <w:kern w:val="2"/>
                <w:sz w:val="21"/>
                <w:szCs w:val="21"/>
              </w:rPr>
              <w:t>本工程打桩前平整场地，临时道路、桩基工程所需场地填筑等费用本标底不考虑</w:t>
            </w:r>
            <w:r>
              <w:rPr>
                <w:rFonts w:hint="eastAsia" w:ascii="宋体" w:hAnsi="宋体" w:eastAsia="宋体" w:cs="Times New Roman"/>
                <w:color w:val="auto"/>
                <w:kern w:val="2"/>
                <w:sz w:val="21"/>
                <w:szCs w:val="21"/>
              </w:rPr>
              <w:t>，请投标单位</w:t>
            </w:r>
            <w:r>
              <w:rPr>
                <w:rFonts w:hint="eastAsia" w:ascii="宋体" w:hAnsi="宋体" w:eastAsia="宋体" w:cs="宋体"/>
                <w:color w:val="auto"/>
                <w:kern w:val="1"/>
                <w:sz w:val="21"/>
                <w:szCs w:val="21"/>
              </w:rPr>
              <w:t>结合现场实际勘察情况</w:t>
            </w:r>
            <w:r>
              <w:rPr>
                <w:rFonts w:hint="eastAsia" w:ascii="宋体" w:hAnsi="宋体" w:eastAsia="宋体" w:cs="Times New Roman"/>
                <w:color w:val="auto"/>
                <w:kern w:val="2"/>
                <w:sz w:val="21"/>
                <w:szCs w:val="21"/>
              </w:rPr>
              <w:t>投标时</w:t>
            </w:r>
            <w:r>
              <w:rPr>
                <w:rFonts w:hint="eastAsia" w:ascii="宋体" w:hAnsi="宋体" w:eastAsia="宋体" w:cs="宋体"/>
                <w:color w:val="auto"/>
                <w:kern w:val="1"/>
                <w:sz w:val="21"/>
                <w:szCs w:val="21"/>
              </w:rPr>
              <w:t>应充分考虑该因素，今后费用不</w:t>
            </w:r>
            <w:r>
              <w:rPr>
                <w:rFonts w:hint="eastAsia" w:ascii="宋体" w:hAnsi="宋体" w:eastAsia="宋体" w:cs="宋体"/>
                <w:color w:val="auto"/>
                <w:kern w:val="1"/>
                <w:sz w:val="21"/>
                <w:szCs w:val="21"/>
                <w:lang w:val="en-US" w:eastAsia="zh-CN"/>
              </w:rPr>
              <w:t>做</w:t>
            </w:r>
            <w:r>
              <w:rPr>
                <w:rFonts w:hint="eastAsia" w:ascii="宋体" w:hAnsi="宋体" w:eastAsia="宋体" w:cs="宋体"/>
                <w:color w:val="auto"/>
                <w:kern w:val="1"/>
                <w:sz w:val="21"/>
                <w:szCs w:val="21"/>
              </w:rPr>
              <w:t>调整。</w:t>
            </w:r>
          </w:p>
          <w:p>
            <w:pPr>
              <w:numPr>
                <w:ilvl w:val="0"/>
                <w:numId w:val="41"/>
              </w:numPr>
              <w:tabs>
                <w:tab w:val="left" w:pos="540"/>
              </w:tabs>
              <w:autoSpaceDE/>
              <w:autoSpaceDN/>
              <w:adjustRightInd/>
              <w:spacing w:line="500" w:lineRule="exact"/>
              <w:ind w:left="0" w:leftChars="0" w:firstLine="284" w:firstLineChars="0"/>
              <w:jc w:val="both"/>
              <w:rPr>
                <w:rFonts w:hint="eastAsia" w:ascii="宋体" w:hAnsi="Times New Roman" w:eastAsia="宋体" w:cs="Times New Roman"/>
                <w:color w:val="auto"/>
                <w:kern w:val="2"/>
                <w:sz w:val="21"/>
                <w:szCs w:val="21"/>
                <w:highlight w:val="none"/>
              </w:rPr>
            </w:pPr>
            <w:r>
              <w:rPr>
                <w:rFonts w:hint="eastAsia" w:ascii="宋体" w:hAnsi="宋体" w:eastAsia="宋体" w:cs="宋体"/>
                <w:color w:val="auto"/>
                <w:kern w:val="1"/>
                <w:sz w:val="21"/>
                <w:szCs w:val="21"/>
                <w:highlight w:val="none"/>
              </w:rPr>
              <w:t>与本工程有关的弱电系统、煤气、电信、有线电视、通讯、自来水、电力等有关的一切费用的配套费（包括相关预埋件、预留洞等相应费用），按综合价20000元/项计入标底(计入地下室)，请投标单位结合企业自身情况综合报价，结算时不做调整。</w:t>
            </w:r>
          </w:p>
          <w:p>
            <w:pPr>
              <w:numPr>
                <w:ilvl w:val="0"/>
                <w:numId w:val="41"/>
              </w:numPr>
              <w:tabs>
                <w:tab w:val="left" w:pos="540"/>
              </w:tabs>
              <w:autoSpaceDE/>
              <w:autoSpaceDN/>
              <w:adjustRightInd/>
              <w:spacing w:line="500" w:lineRule="exact"/>
              <w:ind w:left="0" w:leftChars="0" w:firstLine="284" w:firstLineChars="0"/>
              <w:jc w:val="both"/>
              <w:rPr>
                <w:rFonts w:hint="eastAsia" w:ascii="宋体" w:hAnsi="Times New Roman" w:eastAsia="宋体" w:cs="Times New Roman"/>
                <w:color w:val="auto"/>
                <w:kern w:val="2"/>
                <w:sz w:val="21"/>
                <w:szCs w:val="21"/>
                <w:highlight w:val="none"/>
              </w:rPr>
            </w:pPr>
            <w:r>
              <w:rPr>
                <w:rFonts w:hint="eastAsia" w:ascii="宋体" w:hAnsi="宋体" w:eastAsia="宋体" w:cs="宋体"/>
                <w:color w:val="auto"/>
                <w:kern w:val="1"/>
                <w:sz w:val="21"/>
                <w:szCs w:val="21"/>
                <w:highlight w:val="none"/>
                <w:lang w:eastAsia="zh-CN"/>
              </w:rPr>
              <w:t>洞口的封堵、变形缝涉及到的封堵、防火门涉及到的封堵（</w:t>
            </w:r>
            <w:r>
              <w:rPr>
                <w:rFonts w:hint="eastAsia" w:ascii="宋体" w:hAnsi="宋体" w:eastAsia="宋体" w:cs="宋体"/>
                <w:color w:val="auto"/>
                <w:kern w:val="1"/>
                <w:sz w:val="21"/>
                <w:szCs w:val="21"/>
                <w:highlight w:val="none"/>
                <w:lang w:val="en-US" w:eastAsia="zh-CN"/>
              </w:rPr>
              <w:t>除以上第2点涉及的部分外</w:t>
            </w:r>
            <w:r>
              <w:rPr>
                <w:rFonts w:hint="eastAsia" w:ascii="宋体" w:hAnsi="宋体" w:eastAsia="宋体" w:cs="宋体"/>
                <w:color w:val="auto"/>
                <w:kern w:val="1"/>
                <w:sz w:val="21"/>
                <w:szCs w:val="21"/>
                <w:highlight w:val="none"/>
                <w:lang w:eastAsia="zh-CN"/>
              </w:rPr>
              <w:t>）等</w:t>
            </w:r>
            <w:r>
              <w:rPr>
                <w:rFonts w:hint="eastAsia" w:ascii="宋体" w:hAnsi="宋体" w:eastAsia="宋体" w:cs="宋体"/>
                <w:color w:val="auto"/>
                <w:kern w:val="1"/>
                <w:sz w:val="21"/>
                <w:szCs w:val="21"/>
                <w:highlight w:val="none"/>
              </w:rPr>
              <w:t>相应的费用</w:t>
            </w:r>
            <w:r>
              <w:rPr>
                <w:rFonts w:hint="eastAsia" w:ascii="宋体" w:hAnsi="宋体" w:eastAsia="宋体" w:cs="Times New Roman"/>
                <w:color w:val="auto"/>
                <w:kern w:val="2"/>
                <w:sz w:val="21"/>
                <w:szCs w:val="21"/>
                <w:highlight w:val="none"/>
              </w:rPr>
              <w:t>均由投标单位报价时综合考虑，不再另行单独计算该项费用，结算时亦不</w:t>
            </w:r>
            <w:r>
              <w:rPr>
                <w:rFonts w:hint="eastAsia" w:ascii="宋体" w:hAnsi="宋体" w:eastAsia="宋体" w:cs="Times New Roman"/>
                <w:color w:val="auto"/>
                <w:kern w:val="2"/>
                <w:sz w:val="21"/>
                <w:szCs w:val="21"/>
                <w:highlight w:val="none"/>
                <w:lang w:val="en-US" w:eastAsia="zh-CN"/>
              </w:rPr>
              <w:t>做</w:t>
            </w:r>
            <w:r>
              <w:rPr>
                <w:rFonts w:hint="eastAsia" w:ascii="宋体" w:hAnsi="宋体" w:eastAsia="宋体" w:cs="Times New Roman"/>
                <w:color w:val="auto"/>
                <w:kern w:val="2"/>
                <w:sz w:val="21"/>
                <w:szCs w:val="21"/>
                <w:highlight w:val="none"/>
              </w:rPr>
              <w:t>调整。</w:t>
            </w:r>
          </w:p>
          <w:p>
            <w:pPr>
              <w:numPr>
                <w:ilvl w:val="0"/>
                <w:numId w:val="41"/>
              </w:numPr>
              <w:tabs>
                <w:tab w:val="left" w:pos="540"/>
              </w:tabs>
              <w:autoSpaceDE/>
              <w:autoSpaceDN/>
              <w:adjustRightInd/>
              <w:spacing w:line="500" w:lineRule="exact"/>
              <w:ind w:left="0" w:leftChars="0" w:firstLine="284" w:firstLineChars="0"/>
              <w:jc w:val="both"/>
              <w:rPr>
                <w:rFonts w:hint="eastAsia" w:ascii="宋体" w:hAnsi="Times New Roman" w:eastAsia="宋体" w:cs="Times New Roman"/>
                <w:color w:val="auto"/>
                <w:kern w:val="2"/>
                <w:sz w:val="21"/>
                <w:szCs w:val="21"/>
              </w:rPr>
            </w:pPr>
            <w:r>
              <w:rPr>
                <w:rFonts w:hint="eastAsia" w:ascii="宋体" w:hAnsi="宋体" w:eastAsia="宋体" w:cs="宋体"/>
                <w:color w:val="auto"/>
                <w:kern w:val="1"/>
                <w:sz w:val="21"/>
                <w:szCs w:val="21"/>
                <w:lang w:eastAsia="zh-CN"/>
              </w:rPr>
              <w:t>内墙面(包括柱)阳角处、门窗洞口</w:t>
            </w:r>
            <w:r>
              <w:rPr>
                <w:rFonts w:hint="eastAsia" w:ascii="宋体" w:hAnsi="宋体" w:eastAsia="宋体" w:cs="宋体"/>
                <w:color w:val="auto"/>
                <w:kern w:val="1"/>
                <w:sz w:val="21"/>
                <w:szCs w:val="21"/>
                <w:lang w:val="en-US" w:eastAsia="zh-CN"/>
              </w:rPr>
              <w:t>等所需的</w:t>
            </w:r>
            <w:r>
              <w:rPr>
                <w:rFonts w:hint="eastAsia" w:ascii="宋体" w:hAnsi="宋体" w:eastAsia="宋体" w:cs="宋体"/>
                <w:color w:val="auto"/>
                <w:kern w:val="1"/>
                <w:sz w:val="21"/>
                <w:szCs w:val="21"/>
                <w:lang w:eastAsia="zh-CN"/>
              </w:rPr>
              <w:t>护角</w:t>
            </w:r>
            <w:r>
              <w:rPr>
                <w:rFonts w:hint="eastAsia" w:ascii="宋体" w:hAnsi="宋体" w:eastAsia="宋体" w:cs="宋体"/>
                <w:color w:val="auto"/>
                <w:kern w:val="1"/>
                <w:sz w:val="21"/>
                <w:szCs w:val="21"/>
                <w:lang w:val="en-US" w:eastAsia="zh-CN"/>
              </w:rPr>
              <w:t>费用</w:t>
            </w:r>
            <w:r>
              <w:rPr>
                <w:rFonts w:hint="eastAsia" w:ascii="宋体" w:hAnsi="宋体" w:eastAsia="宋体" w:cs="Times New Roman"/>
                <w:color w:val="auto"/>
                <w:kern w:val="2"/>
                <w:sz w:val="21"/>
                <w:szCs w:val="21"/>
              </w:rPr>
              <w:t>均由投标单位报价时综合考虑，不再另行单独计算该项费用，结算时亦不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rPr>
              <w:t>调整。</w:t>
            </w:r>
          </w:p>
          <w:p>
            <w:pPr>
              <w:numPr>
                <w:ilvl w:val="0"/>
                <w:numId w:val="41"/>
              </w:numPr>
              <w:tabs>
                <w:tab w:val="left" w:pos="540"/>
              </w:tabs>
              <w:autoSpaceDE/>
              <w:autoSpaceDN/>
              <w:adjustRightInd/>
              <w:spacing w:line="500" w:lineRule="exact"/>
              <w:ind w:left="0" w:leftChars="0" w:firstLine="284" w:firstLineChars="0"/>
              <w:jc w:val="both"/>
              <w:rPr>
                <w:rFonts w:hint="eastAsia" w:ascii="宋体" w:hAnsi="Times New Roman" w:eastAsia="宋体" w:cs="Times New Roman"/>
                <w:color w:val="auto"/>
                <w:kern w:val="2"/>
                <w:sz w:val="21"/>
                <w:szCs w:val="21"/>
                <w:highlight w:val="none"/>
              </w:rPr>
            </w:pPr>
            <w:r>
              <w:rPr>
                <w:rFonts w:hint="eastAsia" w:ascii="宋体" w:hAnsi="宋体" w:eastAsia="宋体" w:cs="宋体"/>
                <w:color w:val="auto"/>
                <w:kern w:val="1"/>
                <w:sz w:val="21"/>
                <w:szCs w:val="21"/>
                <w:highlight w:val="none"/>
              </w:rPr>
              <w:t>本工程场地原地坪标高暂按</w:t>
            </w:r>
            <w:r>
              <w:rPr>
                <w:rFonts w:hint="eastAsia" w:ascii="宋体" w:hAnsi="宋体" w:eastAsia="宋体" w:cs="宋体"/>
                <w:color w:val="auto"/>
                <w:kern w:val="1"/>
                <w:sz w:val="21"/>
                <w:szCs w:val="21"/>
                <w:highlight w:val="none"/>
                <w:lang w:val="en-US" w:eastAsia="zh-CN"/>
              </w:rPr>
              <w:t>绝对</w:t>
            </w:r>
            <w:r>
              <w:rPr>
                <w:rFonts w:hint="eastAsia" w:ascii="宋体" w:hAnsi="宋体" w:eastAsia="宋体" w:cs="宋体"/>
                <w:color w:val="auto"/>
                <w:kern w:val="1"/>
                <w:sz w:val="21"/>
                <w:szCs w:val="21"/>
                <w:highlight w:val="none"/>
              </w:rPr>
              <w:t>标高-</w:t>
            </w:r>
            <w:r>
              <w:rPr>
                <w:rFonts w:hint="eastAsia" w:ascii="宋体" w:hAnsi="宋体" w:eastAsia="宋体" w:cs="宋体"/>
                <w:color w:val="auto"/>
                <w:kern w:val="1"/>
                <w:sz w:val="21"/>
                <w:szCs w:val="21"/>
                <w:highlight w:val="none"/>
                <w:lang w:val="en-US" w:eastAsia="zh-CN"/>
              </w:rPr>
              <w:t>0.98</w:t>
            </w:r>
            <w:r>
              <w:rPr>
                <w:rFonts w:hint="eastAsia" w:ascii="宋体" w:hAnsi="宋体" w:eastAsia="宋体" w:cs="宋体"/>
                <w:color w:val="auto"/>
                <w:kern w:val="1"/>
                <w:sz w:val="21"/>
                <w:szCs w:val="21"/>
                <w:highlight w:val="none"/>
              </w:rPr>
              <w:t>m计</w:t>
            </w:r>
            <w:r>
              <w:rPr>
                <w:rFonts w:hint="eastAsia" w:ascii="宋体" w:hAnsi="宋体" w:eastAsia="宋体" w:cs="宋体"/>
                <w:color w:val="auto"/>
                <w:kern w:val="1"/>
                <w:sz w:val="21"/>
                <w:szCs w:val="21"/>
                <w:highlight w:val="none"/>
                <w:lang w:eastAsia="zh-CN"/>
              </w:rPr>
              <w:t>，</w:t>
            </w:r>
            <w:r>
              <w:rPr>
                <w:rFonts w:hint="eastAsia" w:ascii="宋体" w:hAnsi="宋体" w:eastAsia="宋体" w:cs="宋体"/>
                <w:color w:val="auto"/>
                <w:kern w:val="1"/>
                <w:sz w:val="21"/>
                <w:szCs w:val="21"/>
                <w:highlight w:val="none"/>
              </w:rPr>
              <w:t>结算时标高按实调整。</w:t>
            </w:r>
          </w:p>
          <w:p>
            <w:pPr>
              <w:numPr>
                <w:ilvl w:val="0"/>
                <w:numId w:val="41"/>
              </w:numPr>
              <w:tabs>
                <w:tab w:val="left" w:pos="540"/>
              </w:tabs>
              <w:autoSpaceDE/>
              <w:autoSpaceDN/>
              <w:adjustRightInd/>
              <w:spacing w:line="500" w:lineRule="exact"/>
              <w:ind w:left="0" w:leftChars="0" w:firstLine="284" w:firstLineChars="0"/>
              <w:jc w:val="both"/>
              <w:rPr>
                <w:rFonts w:hint="eastAsia" w:ascii="宋体" w:hAnsi="Times New Roman" w:eastAsia="宋体" w:cs="Times New Roman"/>
                <w:color w:val="auto"/>
                <w:kern w:val="2"/>
                <w:sz w:val="21"/>
                <w:szCs w:val="21"/>
                <w:highlight w:val="none"/>
              </w:rPr>
            </w:pPr>
            <w:r>
              <w:rPr>
                <w:rFonts w:hint="eastAsia" w:ascii="宋体" w:hAnsi="Times New Roman" w:eastAsia="宋体" w:cs="Times New Roman"/>
                <w:color w:val="auto"/>
                <w:kern w:val="2"/>
                <w:sz w:val="21"/>
                <w:szCs w:val="21"/>
                <w:highlight w:val="none"/>
                <w:lang w:val="en-US" w:eastAsia="zh-CN"/>
              </w:rPr>
              <w:t>本工程</w:t>
            </w:r>
            <w:r>
              <w:rPr>
                <w:rFonts w:hint="eastAsia" w:ascii="宋体" w:hAnsi="Times New Roman" w:eastAsia="宋体" w:cs="Times New Roman"/>
                <w:color w:val="auto"/>
                <w:kern w:val="2"/>
                <w:sz w:val="21"/>
                <w:szCs w:val="21"/>
                <w:highlight w:val="none"/>
              </w:rPr>
              <w:t>已综合考虑深井降水措施费用，</w:t>
            </w:r>
            <w:r>
              <w:rPr>
                <w:rFonts w:hint="eastAsia" w:ascii="宋体" w:hAnsi="Times New Roman" w:eastAsia="宋体" w:cs="Times New Roman"/>
                <w:color w:val="auto"/>
                <w:kern w:val="2"/>
                <w:sz w:val="21"/>
                <w:szCs w:val="21"/>
                <w:highlight w:val="none"/>
                <w:lang w:val="en-US" w:eastAsia="zh-CN"/>
              </w:rPr>
              <w:t>故土方开挖按干土计算，</w:t>
            </w:r>
            <w:r>
              <w:rPr>
                <w:rFonts w:hint="eastAsia" w:ascii="宋体" w:hAnsi="Times New Roman" w:eastAsia="宋体" w:cs="Times New Roman"/>
                <w:color w:val="auto"/>
                <w:kern w:val="2"/>
                <w:sz w:val="21"/>
                <w:szCs w:val="21"/>
                <w:highlight w:val="none"/>
              </w:rPr>
              <w:t>湿土排水费用</w:t>
            </w:r>
            <w:r>
              <w:rPr>
                <w:rFonts w:hint="eastAsia" w:ascii="宋体" w:hAnsi="Times New Roman" w:eastAsia="宋体" w:cs="Times New Roman"/>
                <w:color w:val="auto"/>
                <w:kern w:val="2"/>
                <w:sz w:val="21"/>
                <w:szCs w:val="21"/>
                <w:highlight w:val="none"/>
                <w:lang w:val="en-US" w:eastAsia="zh-CN"/>
              </w:rPr>
              <w:t>亦</w:t>
            </w:r>
            <w:r>
              <w:rPr>
                <w:rFonts w:hint="eastAsia" w:ascii="宋体" w:hAnsi="Times New Roman" w:eastAsia="宋体" w:cs="Times New Roman"/>
                <w:color w:val="auto"/>
                <w:kern w:val="2"/>
                <w:sz w:val="21"/>
                <w:szCs w:val="21"/>
                <w:highlight w:val="none"/>
              </w:rPr>
              <w:t>不再计取，结算时该口径不</w:t>
            </w:r>
            <w:r>
              <w:rPr>
                <w:rFonts w:hint="eastAsia" w:ascii="宋体" w:hAnsi="Times New Roman" w:eastAsia="宋体" w:cs="Times New Roman"/>
                <w:color w:val="auto"/>
                <w:kern w:val="2"/>
                <w:sz w:val="21"/>
                <w:szCs w:val="21"/>
                <w:highlight w:val="none"/>
                <w:lang w:val="en-US" w:eastAsia="zh-CN"/>
              </w:rPr>
              <w:t>做</w:t>
            </w:r>
            <w:r>
              <w:rPr>
                <w:rFonts w:hint="eastAsia" w:ascii="宋体" w:hAnsi="Times New Roman" w:eastAsia="宋体" w:cs="Times New Roman"/>
                <w:color w:val="auto"/>
                <w:kern w:val="2"/>
                <w:sz w:val="21"/>
                <w:szCs w:val="21"/>
                <w:highlight w:val="none"/>
              </w:rPr>
              <w:t>调整</w:t>
            </w:r>
            <w:r>
              <w:rPr>
                <w:rFonts w:hint="eastAsia" w:ascii="宋体" w:hAnsi="Times New Roman" w:eastAsia="宋体" w:cs="Times New Roman"/>
                <w:color w:val="auto"/>
                <w:kern w:val="2"/>
                <w:sz w:val="21"/>
                <w:szCs w:val="21"/>
                <w:highlight w:val="none"/>
                <w:lang w:eastAsia="zh-CN"/>
              </w:rPr>
              <w:t>。</w:t>
            </w:r>
          </w:p>
          <w:p>
            <w:pPr>
              <w:numPr>
                <w:ilvl w:val="0"/>
                <w:numId w:val="41"/>
              </w:numPr>
              <w:tabs>
                <w:tab w:val="left" w:pos="540"/>
              </w:tabs>
              <w:autoSpaceDE/>
              <w:autoSpaceDN/>
              <w:adjustRightInd/>
              <w:spacing w:line="500" w:lineRule="exact"/>
              <w:ind w:left="0" w:leftChars="0" w:firstLine="284" w:firstLineChars="0"/>
              <w:jc w:val="both"/>
              <w:rPr>
                <w:rFonts w:hint="eastAsia" w:ascii="宋体" w:hAnsi="Times New Roman" w:eastAsia="宋体" w:cs="Times New Roman"/>
                <w:color w:val="auto"/>
                <w:kern w:val="2"/>
                <w:sz w:val="21"/>
                <w:szCs w:val="21"/>
                <w:highlight w:val="none"/>
              </w:rPr>
            </w:pPr>
            <w:r>
              <w:rPr>
                <w:rFonts w:hint="eastAsia" w:ascii="宋体" w:hAnsi="Times New Roman" w:eastAsia="宋体" w:cs="Times New Roman"/>
                <w:color w:val="auto"/>
                <w:kern w:val="2"/>
                <w:sz w:val="21"/>
                <w:szCs w:val="21"/>
                <w:highlight w:val="none"/>
              </w:rPr>
              <w:t>本</w:t>
            </w:r>
            <w:r>
              <w:rPr>
                <w:rFonts w:hint="eastAsia" w:ascii="宋体" w:hAnsi="Times New Roman" w:eastAsia="宋体" w:cs="Times New Roman"/>
                <w:color w:val="auto"/>
                <w:kern w:val="2"/>
                <w:sz w:val="21"/>
                <w:szCs w:val="21"/>
                <w:highlight w:val="none"/>
                <w:lang w:val="en-US" w:eastAsia="zh-CN"/>
              </w:rPr>
              <w:t>标底价</w:t>
            </w:r>
            <w:r>
              <w:rPr>
                <w:rFonts w:hint="eastAsia" w:ascii="宋体" w:hAnsi="Times New Roman" w:eastAsia="宋体" w:cs="Times New Roman"/>
                <w:color w:val="auto"/>
                <w:kern w:val="2"/>
                <w:sz w:val="21"/>
                <w:szCs w:val="21"/>
                <w:highlight w:val="none"/>
              </w:rPr>
              <w:t>中土方类别按一、二类土计取（投标单位报价时，请按地质报告及现场实际勘察情况综合考虑，实际不同不</w:t>
            </w:r>
            <w:r>
              <w:rPr>
                <w:rFonts w:hint="eastAsia" w:ascii="宋体" w:hAnsi="Times New Roman" w:eastAsia="宋体" w:cs="Times New Roman"/>
                <w:color w:val="auto"/>
                <w:kern w:val="2"/>
                <w:sz w:val="21"/>
                <w:szCs w:val="21"/>
                <w:highlight w:val="none"/>
                <w:lang w:val="en-US" w:eastAsia="zh-CN"/>
              </w:rPr>
              <w:t>做</w:t>
            </w:r>
            <w:r>
              <w:rPr>
                <w:rFonts w:hint="eastAsia" w:ascii="宋体" w:hAnsi="Times New Roman" w:eastAsia="宋体" w:cs="Times New Roman"/>
                <w:color w:val="auto"/>
                <w:kern w:val="2"/>
                <w:sz w:val="21"/>
                <w:szCs w:val="21"/>
                <w:highlight w:val="none"/>
              </w:rPr>
              <w:t>调整）</w:t>
            </w:r>
            <w:r>
              <w:rPr>
                <w:rFonts w:hint="eastAsia" w:ascii="宋体" w:hAnsi="Times New Roman" w:eastAsia="宋体" w:cs="Times New Roman"/>
                <w:color w:val="auto"/>
                <w:kern w:val="2"/>
                <w:sz w:val="21"/>
                <w:szCs w:val="21"/>
                <w:highlight w:val="none"/>
                <w:lang w:eastAsia="zh-CN"/>
              </w:rPr>
              <w:t>。</w:t>
            </w:r>
          </w:p>
          <w:p>
            <w:pPr>
              <w:numPr>
                <w:ilvl w:val="0"/>
                <w:numId w:val="41"/>
              </w:numPr>
              <w:tabs>
                <w:tab w:val="left" w:pos="1800"/>
              </w:tabs>
              <w:autoSpaceDE/>
              <w:autoSpaceDN/>
              <w:adjustRightInd/>
              <w:spacing w:line="360" w:lineRule="auto"/>
              <w:ind w:left="0" w:leftChars="0" w:firstLine="284" w:firstLineChars="0"/>
              <w:jc w:val="both"/>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泥浆池建造、拆除及泥浆外运</w:t>
            </w:r>
            <w:r>
              <w:rPr>
                <w:rFonts w:hint="eastAsia" w:ascii="宋体" w:hAnsi="宋体" w:eastAsia="宋体" w:cs="宋体"/>
                <w:color w:val="auto"/>
                <w:kern w:val="1"/>
                <w:sz w:val="21"/>
                <w:szCs w:val="21"/>
                <w:lang w:eastAsia="zh-CN"/>
              </w:rPr>
              <w:t>、</w:t>
            </w:r>
            <w:r>
              <w:rPr>
                <w:rFonts w:hint="eastAsia" w:ascii="宋体" w:hAnsi="宋体" w:eastAsia="宋体" w:cs="宋体"/>
                <w:color w:val="auto"/>
                <w:kern w:val="1"/>
                <w:sz w:val="21"/>
                <w:szCs w:val="21"/>
                <w:lang w:val="en-US" w:eastAsia="zh-CN"/>
              </w:rPr>
              <w:t>处置费</w:t>
            </w:r>
            <w:r>
              <w:rPr>
                <w:rFonts w:hint="eastAsia" w:ascii="宋体" w:hAnsi="宋体" w:eastAsia="宋体" w:cs="宋体"/>
                <w:color w:val="auto"/>
                <w:kern w:val="1"/>
                <w:sz w:val="21"/>
                <w:szCs w:val="21"/>
              </w:rPr>
              <w:t>按综合价</w:t>
            </w:r>
            <w:r>
              <w:rPr>
                <w:rFonts w:hint="eastAsia" w:ascii="宋体" w:hAnsi="宋体" w:eastAsia="宋体" w:cs="宋体"/>
                <w:color w:val="auto"/>
                <w:kern w:val="1"/>
                <w:sz w:val="21"/>
                <w:szCs w:val="21"/>
                <w:lang w:val="en-US" w:eastAsia="zh-CN"/>
              </w:rPr>
              <w:t>150</w:t>
            </w:r>
            <w:r>
              <w:rPr>
                <w:rFonts w:hint="eastAsia" w:ascii="宋体" w:hAnsi="宋体" w:eastAsia="宋体" w:cs="宋体"/>
                <w:color w:val="auto"/>
                <w:kern w:val="1"/>
                <w:sz w:val="21"/>
                <w:szCs w:val="21"/>
              </w:rPr>
              <w:t>元/立米列入，外运至政府指定处理点，请投标单位自行考虑各要素进行报价</w:t>
            </w:r>
            <w:r>
              <w:rPr>
                <w:rFonts w:hint="eastAsia" w:ascii="宋体" w:hAnsi="宋体" w:eastAsia="宋体" w:cs="宋体"/>
                <w:color w:val="auto"/>
                <w:kern w:val="1"/>
                <w:sz w:val="21"/>
                <w:szCs w:val="21"/>
                <w:lang w:eastAsia="zh-CN"/>
              </w:rPr>
              <w:t>，</w:t>
            </w:r>
            <w:r>
              <w:rPr>
                <w:rFonts w:hint="eastAsia" w:ascii="宋体" w:hAnsi="宋体" w:eastAsia="宋体" w:cs="宋体"/>
                <w:color w:val="auto"/>
                <w:kern w:val="1"/>
                <w:sz w:val="21"/>
                <w:szCs w:val="21"/>
                <w:lang w:val="en-US" w:eastAsia="zh-CN"/>
              </w:rPr>
              <w:t>结算时工程量按成孔工程量*0.2计算，不考虑任何系数，单价不做调整</w:t>
            </w:r>
            <w:r>
              <w:rPr>
                <w:rFonts w:hint="eastAsia" w:ascii="宋体" w:hAnsi="宋体" w:eastAsia="宋体" w:cs="宋体"/>
                <w:color w:val="auto"/>
                <w:kern w:val="1"/>
                <w:sz w:val="21"/>
                <w:szCs w:val="21"/>
              </w:rPr>
              <w:t>。</w:t>
            </w:r>
          </w:p>
          <w:p>
            <w:pPr>
              <w:numPr>
                <w:ilvl w:val="0"/>
                <w:numId w:val="41"/>
              </w:numPr>
              <w:tabs>
                <w:tab w:val="left" w:pos="1800"/>
              </w:tabs>
              <w:autoSpaceDE/>
              <w:autoSpaceDN/>
              <w:adjustRightInd/>
              <w:spacing w:line="360" w:lineRule="auto"/>
              <w:ind w:left="0" w:leftChars="0" w:firstLine="284" w:firstLineChars="0"/>
              <w:jc w:val="both"/>
              <w:rPr>
                <w:rFonts w:hint="eastAsia" w:ascii="宋体" w:hAnsi="Times New Roman" w:eastAsia="宋体" w:cs="Times New Roman"/>
                <w:color w:val="auto"/>
                <w:kern w:val="2"/>
                <w:sz w:val="21"/>
                <w:szCs w:val="21"/>
              </w:rPr>
            </w:pPr>
            <w:r>
              <w:rPr>
                <w:rFonts w:hint="eastAsia" w:ascii="宋体" w:hAnsi="宋体" w:eastAsia="宋体" w:cs="宋体"/>
                <w:color w:val="auto"/>
                <w:kern w:val="1"/>
                <w:sz w:val="21"/>
                <w:szCs w:val="21"/>
                <w:lang w:val="en-US" w:eastAsia="zh-CN"/>
              </w:rPr>
              <w:t>土方回</w:t>
            </w:r>
            <w:r>
              <w:rPr>
                <w:rFonts w:hint="eastAsia" w:ascii="Times New Roman" w:hAnsi="Times New Roman" w:eastAsia="宋体" w:cs="Times New Roman"/>
                <w:color w:val="auto"/>
                <w:kern w:val="2"/>
                <w:sz w:val="21"/>
                <w:highlight w:val="none"/>
                <w:lang w:val="en-US" w:eastAsia="zh-CN"/>
              </w:rPr>
              <w:t>填</w:t>
            </w:r>
            <w:r>
              <w:rPr>
                <w:rFonts w:hint="eastAsia" w:ascii="Times New Roman" w:hAnsi="Times New Roman" w:eastAsia="宋体" w:cs="Times New Roman"/>
                <w:color w:val="auto"/>
                <w:kern w:val="2"/>
                <w:sz w:val="21"/>
                <w:highlight w:val="none"/>
              </w:rPr>
              <w:t>为一次性包干，</w:t>
            </w:r>
            <w:r>
              <w:rPr>
                <w:rFonts w:hint="eastAsia" w:ascii="宋体" w:hAnsi="宋体" w:eastAsia="宋体" w:cs="Times New Roman"/>
                <w:color w:val="auto"/>
                <w:kern w:val="2"/>
                <w:sz w:val="21"/>
                <w:szCs w:val="21"/>
                <w:highlight w:val="none"/>
              </w:rPr>
              <w:t>按综合价20元/m3计入标底，包括</w:t>
            </w:r>
            <w:r>
              <w:rPr>
                <w:rFonts w:hint="eastAsia" w:ascii="宋体" w:hAnsi="宋体" w:eastAsia="宋体" w:cs="Times New Roman"/>
                <w:color w:val="auto"/>
                <w:kern w:val="2"/>
                <w:sz w:val="21"/>
                <w:szCs w:val="21"/>
                <w:highlight w:val="none"/>
                <w:lang w:val="en-US" w:eastAsia="zh-CN"/>
              </w:rPr>
              <w:t>包括购、挖、装、运</w:t>
            </w:r>
            <w:r>
              <w:rPr>
                <w:rFonts w:hint="eastAsia" w:ascii="宋体" w:hAnsi="宋体" w:eastAsia="宋体" w:cs="Times New Roman"/>
                <w:color w:val="auto"/>
                <w:kern w:val="2"/>
                <w:sz w:val="21"/>
                <w:szCs w:val="21"/>
                <w:lang w:val="en-US" w:eastAsia="zh-CN"/>
              </w:rPr>
              <w:t>、卸、短驳、回填、平整、夯实等一切费用</w:t>
            </w:r>
            <w:r>
              <w:rPr>
                <w:rFonts w:hint="eastAsia" w:ascii="宋体" w:hAnsi="宋体" w:eastAsia="宋体" w:cs="Times New Roman"/>
                <w:color w:val="auto"/>
                <w:kern w:val="2"/>
                <w:sz w:val="21"/>
                <w:szCs w:val="21"/>
              </w:rPr>
              <w:t>等所有工作内容，请投标单位结合自身情况，合理报价。</w:t>
            </w:r>
          </w:p>
          <w:p>
            <w:pPr>
              <w:numPr>
                <w:ilvl w:val="0"/>
                <w:numId w:val="41"/>
              </w:numPr>
              <w:tabs>
                <w:tab w:val="left" w:pos="1800"/>
              </w:tabs>
              <w:autoSpaceDE/>
              <w:autoSpaceDN/>
              <w:adjustRightInd/>
              <w:spacing w:line="360" w:lineRule="auto"/>
              <w:ind w:left="0" w:leftChars="0" w:firstLine="284" w:firstLineChars="0"/>
              <w:jc w:val="both"/>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在基坑施工过程中，如发生暗河、开挖深度有变化及位移偏大等情况时，应及时采取措施，其应急措施工作增加的费用，本标底不列入，结算时不另行增加。</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color w:val="auto"/>
                <w:kern w:val="1"/>
                <w:sz w:val="21"/>
                <w:szCs w:val="21"/>
              </w:rPr>
              <w:t>本工程施工电梯</w:t>
            </w:r>
            <w:r>
              <w:rPr>
                <w:rFonts w:hint="eastAsia" w:ascii="宋体" w:hAnsi="宋体" w:eastAsia="宋体" w:cs="宋体"/>
                <w:color w:val="auto"/>
                <w:kern w:val="1"/>
                <w:sz w:val="21"/>
                <w:szCs w:val="21"/>
                <w:lang w:val="en-US" w:eastAsia="zh-CN"/>
              </w:rPr>
              <w:t>按</w:t>
            </w:r>
            <w:r>
              <w:rPr>
                <w:rFonts w:hint="eastAsia" w:ascii="宋体" w:hAnsi="宋体" w:eastAsia="宋体" w:cs="宋体"/>
                <w:color w:val="auto"/>
                <w:kern w:val="1"/>
                <w:sz w:val="21"/>
                <w:szCs w:val="21"/>
              </w:rPr>
              <w:t>每栋高层计一台，</w:t>
            </w:r>
            <w:r>
              <w:rPr>
                <w:rFonts w:hint="eastAsia" w:ascii="宋体" w:hAnsi="宋体" w:eastAsia="宋体" w:cs="宋体"/>
                <w:color w:val="auto"/>
                <w:kern w:val="1"/>
                <w:sz w:val="21"/>
                <w:szCs w:val="21"/>
                <w:lang w:val="en-US" w:eastAsia="zh-CN"/>
              </w:rPr>
              <w:t>塔吊按7台考虑，</w:t>
            </w:r>
            <w:r>
              <w:rPr>
                <w:rFonts w:hint="eastAsia" w:ascii="宋体" w:hAnsi="宋体" w:eastAsia="宋体" w:cs="宋体"/>
                <w:color w:val="auto"/>
                <w:kern w:val="1"/>
                <w:sz w:val="21"/>
                <w:szCs w:val="21"/>
              </w:rPr>
              <w:t>履带式挖掘机1M3以内共计</w:t>
            </w:r>
            <w:r>
              <w:rPr>
                <w:rFonts w:hint="eastAsia" w:ascii="宋体" w:hAnsi="宋体" w:eastAsia="宋体" w:cs="宋体"/>
                <w:color w:val="auto"/>
                <w:kern w:val="1"/>
                <w:sz w:val="21"/>
                <w:szCs w:val="21"/>
                <w:lang w:val="en-US" w:eastAsia="zh-CN"/>
              </w:rPr>
              <w:t>6</w:t>
            </w:r>
            <w:r>
              <w:rPr>
                <w:rFonts w:hint="eastAsia" w:ascii="宋体" w:hAnsi="宋体" w:eastAsia="宋体" w:cs="宋体"/>
                <w:color w:val="auto"/>
                <w:kern w:val="1"/>
                <w:sz w:val="21"/>
                <w:szCs w:val="21"/>
              </w:rPr>
              <w:t>台，旋挖钻机</w:t>
            </w:r>
            <w:r>
              <w:rPr>
                <w:rFonts w:hint="eastAsia" w:ascii="宋体" w:hAnsi="宋体" w:eastAsia="宋体" w:cs="Times New Roman"/>
                <w:color w:val="auto"/>
                <w:kern w:val="2"/>
                <w:sz w:val="21"/>
                <w:szCs w:val="21"/>
              </w:rPr>
              <w:t>进出场费及安拆费共计12台，</w:t>
            </w:r>
            <w:r>
              <w:rPr>
                <w:rFonts w:hint="eastAsia" w:ascii="宋体" w:hAnsi="宋体" w:eastAsia="宋体" w:cs="Times New Roman"/>
                <w:bCs/>
                <w:color w:val="auto"/>
                <w:kern w:val="2"/>
                <w:sz w:val="21"/>
                <w:szCs w:val="21"/>
              </w:rPr>
              <w:t>场外考虑压路机进退场费1台，沥青砼摊铺及</w:t>
            </w:r>
            <w:r>
              <w:rPr>
                <w:rFonts w:hint="eastAsia" w:ascii="宋体" w:hAnsi="宋体" w:eastAsia="宋体" w:cs="Times New Roman"/>
                <w:bCs/>
                <w:color w:val="auto"/>
                <w:kern w:val="2"/>
                <w:sz w:val="21"/>
                <w:szCs w:val="21"/>
                <w:lang w:val="en-US" w:eastAsia="zh-CN"/>
              </w:rPr>
              <w:t>进</w:t>
            </w:r>
            <w:r>
              <w:rPr>
                <w:rFonts w:hint="eastAsia" w:ascii="宋体" w:hAnsi="宋体" w:eastAsia="宋体" w:cs="Times New Roman"/>
                <w:bCs/>
                <w:color w:val="auto"/>
                <w:kern w:val="2"/>
                <w:sz w:val="21"/>
                <w:szCs w:val="21"/>
              </w:rPr>
              <w:t>退场费1台（计入场外工程中），</w:t>
            </w:r>
            <w:r>
              <w:rPr>
                <w:rFonts w:hint="eastAsia" w:ascii="宋体" w:hAnsi="宋体" w:eastAsia="宋体" w:cs="Times New Roman"/>
                <w:color w:val="auto"/>
                <w:kern w:val="2"/>
                <w:sz w:val="21"/>
                <w:szCs w:val="21"/>
              </w:rPr>
              <w:t>如实际施工机械数量多于标底机械台数，结算时不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rPr>
              <w:t>调整；少于标底数量，结算按实调减费用。塔吊承台基础、桩基按</w:t>
            </w:r>
            <w:r>
              <w:rPr>
                <w:rFonts w:hint="eastAsia" w:ascii="宋体" w:hAnsi="宋体" w:eastAsia="宋体" w:cs="Times New Roman"/>
                <w:color w:val="auto"/>
                <w:kern w:val="2"/>
                <w:sz w:val="21"/>
                <w:szCs w:val="21"/>
                <w:lang w:val="en-US" w:eastAsia="zh-CN"/>
              </w:rPr>
              <w:t>6</w:t>
            </w:r>
            <w:r>
              <w:rPr>
                <w:rFonts w:hint="eastAsia" w:ascii="宋体" w:hAnsi="宋体" w:eastAsia="宋体" w:cs="Times New Roman"/>
                <w:color w:val="auto"/>
                <w:kern w:val="2"/>
                <w:sz w:val="21"/>
                <w:szCs w:val="21"/>
              </w:rPr>
              <w:t>0000元/台考虑</w:t>
            </w:r>
            <w:r>
              <w:rPr>
                <w:rFonts w:hint="eastAsia" w:ascii="宋体" w:hAnsi="宋体" w:eastAsia="宋体" w:cs="宋体"/>
                <w:color w:val="auto"/>
                <w:kern w:val="1"/>
                <w:sz w:val="21"/>
                <w:szCs w:val="21"/>
              </w:rPr>
              <w:t>（综合价，包括承台基础、桩基、桩机安拆费及进退场费等,</w:t>
            </w:r>
            <w:r>
              <w:rPr>
                <w:rFonts w:hint="eastAsia" w:ascii="宋体" w:hAnsi="宋体" w:eastAsia="宋体" w:cs="Times New Roman"/>
                <w:color w:val="auto"/>
                <w:kern w:val="2"/>
                <w:sz w:val="21"/>
                <w:szCs w:val="21"/>
              </w:rPr>
              <w:t>包括主辅材、材料制作、安装费、运输损耗及定额损耗等各种损耗、运输费、采保费、管理费、利润、规费等所有因素的相关费用，未包括税金</w:t>
            </w:r>
            <w:r>
              <w:rPr>
                <w:rFonts w:hint="eastAsia" w:ascii="宋体" w:hAnsi="宋体" w:eastAsia="宋体" w:cs="宋体"/>
                <w:color w:val="auto"/>
                <w:kern w:val="1"/>
                <w:sz w:val="21"/>
                <w:szCs w:val="21"/>
              </w:rPr>
              <w:t>），结算时不做调整，请投标单位根据自身情况综合报价。</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本</w:t>
            </w:r>
            <w:r>
              <w:rPr>
                <w:rFonts w:hint="eastAsia" w:ascii="宋体" w:hAnsi="宋体" w:eastAsia="宋体" w:cs="宋体"/>
                <w:color w:val="auto"/>
                <w:kern w:val="1"/>
                <w:sz w:val="21"/>
                <w:szCs w:val="21"/>
                <w:highlight w:val="none"/>
                <w:lang w:val="en-US" w:eastAsia="zh-CN"/>
              </w:rPr>
              <w:t>工程</w:t>
            </w:r>
            <w:r>
              <w:rPr>
                <w:rFonts w:hint="eastAsia" w:ascii="宋体" w:hAnsi="宋体" w:eastAsia="宋体" w:cs="宋体"/>
                <w:color w:val="auto"/>
                <w:kern w:val="1"/>
                <w:sz w:val="21"/>
                <w:szCs w:val="21"/>
                <w:highlight w:val="none"/>
              </w:rPr>
              <w:t>编制时已考虑幕墙</w:t>
            </w:r>
            <w:r>
              <w:rPr>
                <w:rFonts w:hint="eastAsia" w:ascii="宋体" w:hAnsi="宋体" w:eastAsia="宋体" w:cs="宋体"/>
                <w:color w:val="auto"/>
                <w:kern w:val="1"/>
                <w:sz w:val="21"/>
                <w:szCs w:val="21"/>
                <w:highlight w:val="none"/>
                <w:lang w:eastAsia="zh-CN"/>
              </w:rPr>
              <w:t>、</w:t>
            </w:r>
            <w:r>
              <w:rPr>
                <w:rFonts w:hint="eastAsia" w:ascii="宋体" w:hAnsi="宋体" w:eastAsia="宋体" w:cs="宋体"/>
                <w:color w:val="auto"/>
                <w:kern w:val="1"/>
                <w:sz w:val="21"/>
                <w:szCs w:val="21"/>
                <w:highlight w:val="none"/>
                <w:lang w:val="en-US" w:eastAsia="zh-CN"/>
              </w:rPr>
              <w:t>精装修</w:t>
            </w:r>
            <w:r>
              <w:rPr>
                <w:rFonts w:hint="eastAsia" w:ascii="宋体" w:hAnsi="宋体" w:eastAsia="宋体" w:cs="宋体"/>
                <w:color w:val="auto"/>
                <w:kern w:val="1"/>
                <w:sz w:val="21"/>
                <w:szCs w:val="21"/>
                <w:highlight w:val="none"/>
              </w:rPr>
              <w:t>等专业承包单位使用的脚手架及垂直运输费用，总包方应给予幕墙等专业承包单位无偿提供，专业承包工程发生的脚手架及垂直运输不再计取。</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lang w:val="en-US" w:eastAsia="zh-CN"/>
              </w:rPr>
              <w:t>本工程模板按复合模板考虑，实际施工时如模板品种及规格有不同均不做调整。</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color w:val="auto"/>
                <w:kern w:val="1"/>
                <w:sz w:val="21"/>
                <w:szCs w:val="21"/>
                <w:lang w:val="en-US" w:eastAsia="zh-CN"/>
              </w:rPr>
              <w:t>叠合板</w:t>
            </w:r>
            <w:r>
              <w:rPr>
                <w:rFonts w:hint="eastAsia" w:ascii="宋体" w:hAnsi="宋体" w:eastAsia="宋体" w:cs="宋体"/>
                <w:color w:val="auto"/>
                <w:kern w:val="1"/>
                <w:sz w:val="21"/>
                <w:szCs w:val="21"/>
                <w:highlight w:val="none"/>
                <w:lang w:val="en-US" w:eastAsia="zh-CN"/>
              </w:rPr>
              <w:t>制作安装，构件运距综合考虑。含钢量暂按150KG/M3计入，结算时根据设计认可的厂家深化图纸按实调整。厂家PC深化图费用由投标单位在投标报价时自行综合考虑，建设单位不再另行支付费用。现场实际叠合板下面铺设的模板，本标底不考虑，投标单位均应充分考虑该因素，再自行考虑综合报价。PC构件中的所有吊装机械按定额考虑，投标单位根据现场情况综合考虑各种风险自行考虑报价，本标底不列项，结算时不另行增加。</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color w:val="auto"/>
                <w:kern w:val="1"/>
                <w:sz w:val="21"/>
                <w:szCs w:val="21"/>
              </w:rPr>
              <w:t>ALC成品隔墙</w:t>
            </w:r>
            <w:r>
              <w:rPr>
                <w:rFonts w:hint="eastAsia" w:ascii="宋体" w:hAnsi="宋体" w:eastAsia="宋体" w:cs="宋体"/>
                <w:color w:val="auto"/>
                <w:kern w:val="1"/>
                <w:sz w:val="21"/>
                <w:szCs w:val="21"/>
                <w:lang w:val="en-US" w:eastAsia="zh-CN"/>
              </w:rPr>
              <w:t>标底价格包含构件卸货及堆场、吊装、校正、座浆、注浆、灌浆、接缝、灌浆处理、成品保护、预埋件、灌浆钢套管及所有完成预制构件制作安装需要的费用。</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kern w:val="1"/>
                <w:sz w:val="21"/>
                <w:szCs w:val="21"/>
                <w:highlight w:val="none"/>
                <w:lang w:val="en-US" w:eastAsia="zh-CN"/>
              </w:rPr>
              <w:t>所有建筑工程砼均采用商品砼。其中构造柱、圈梁、压顶、窗台板、地下室设备基础、楼地面找平层等按非泵送商品混凝土编制（具体详见清单描述），其余按泵送商品混凝土编制，结算时不做调整。</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kern w:val="1"/>
                <w:sz w:val="21"/>
                <w:szCs w:val="21"/>
                <w:highlight w:val="none"/>
                <w:lang w:val="en-US" w:eastAsia="zh-CN"/>
              </w:rPr>
              <w:t>蒸压砂加气混凝土砌块与砼梁板搭接处按柔性材料嵌缝PU发泡剂考虑（单侧嵌缝尺寸为2.0*2.5cm考虑），实际施工尺寸如有不同结算时仍按此尺寸结算，不做调整。</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kern w:val="1"/>
                <w:sz w:val="21"/>
                <w:szCs w:val="21"/>
                <w:highlight w:val="none"/>
                <w:lang w:val="en-US" w:eastAsia="zh-CN"/>
              </w:rPr>
              <w:t>蒸压砂加气砼砌块墙体与砼墙柱连接按图纸加固钢筋计入，如实际采用L型铁件，结算时按实调整。</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kern w:val="1"/>
                <w:sz w:val="21"/>
                <w:szCs w:val="21"/>
                <w:highlight w:val="none"/>
                <w:lang w:val="en-US" w:eastAsia="zh-CN"/>
              </w:rPr>
              <w:t>花岗岩材料价已综合考虑花岗岩的六面防腐去污处理、切片、磨光、抛光等形成成品花岗岩的所有费用,请投标单位投标时考虑该因素，结算时单价不做调整。</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kern w:val="1"/>
                <w:sz w:val="21"/>
                <w:szCs w:val="21"/>
                <w:highlight w:val="none"/>
                <w:lang w:val="en-US" w:eastAsia="zh-CN"/>
              </w:rPr>
              <w:t>墙面砖材料价中已综合考虑倒角磨边费用、磨光、抛光等的所需费用，结算时单价不做调整。地砖材料价已综合考虑磨光、抛光等所需费用，结算时单价不做调整。</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color w:val="auto"/>
                <w:kern w:val="1"/>
                <w:sz w:val="21"/>
                <w:szCs w:val="21"/>
                <w:lang w:val="en-US" w:eastAsia="zh-CN"/>
              </w:rPr>
              <w:t>本工程</w:t>
            </w:r>
            <w:r>
              <w:rPr>
                <w:rFonts w:hint="eastAsia" w:ascii="宋体" w:hAnsi="宋体" w:eastAsia="宋体" w:cs="Times New Roman"/>
                <w:kern w:val="2"/>
                <w:sz w:val="21"/>
                <w:szCs w:val="21"/>
              </w:rPr>
              <w:t>不同基体交接处加强材料：</w:t>
            </w:r>
            <w:r>
              <w:rPr>
                <w:rFonts w:hint="eastAsia" w:ascii="宋体" w:hAnsi="宋体" w:eastAsia="宋体" w:cs="Times New Roman"/>
                <w:kern w:val="2"/>
                <w:sz w:val="21"/>
                <w:szCs w:val="21"/>
                <w:lang w:eastAsia="zh-CN"/>
              </w:rPr>
              <w:t>蒸压加气混凝土条板接缝处做100宽耐碱玻纤网格布，</w:t>
            </w:r>
            <w:r>
              <w:rPr>
                <w:rFonts w:hint="eastAsia" w:ascii="宋体" w:hAnsi="宋体" w:eastAsia="宋体" w:cs="Times New Roman"/>
                <w:kern w:val="2"/>
                <w:sz w:val="21"/>
                <w:szCs w:val="21"/>
                <w:lang w:val="en-US" w:eastAsia="zh-CN"/>
              </w:rPr>
              <w:t>其余墙体交接处</w:t>
            </w:r>
            <w:r>
              <w:rPr>
                <w:rFonts w:hint="eastAsia" w:ascii="宋体" w:hAnsi="宋体" w:eastAsia="宋体" w:cs="Times New Roman"/>
                <w:kern w:val="2"/>
                <w:sz w:val="21"/>
                <w:szCs w:val="21"/>
              </w:rPr>
              <w:t>采用</w:t>
            </w:r>
            <w:r>
              <w:rPr>
                <w:rFonts w:hint="eastAsia" w:ascii="宋体" w:hAnsi="宋体" w:eastAsia="宋体" w:cs="Times New Roman"/>
                <w:kern w:val="2"/>
                <w:sz w:val="21"/>
                <w:szCs w:val="21"/>
                <w:lang w:val="en-US" w:eastAsia="zh-CN"/>
              </w:rPr>
              <w:t>钢丝网</w:t>
            </w:r>
            <w:r>
              <w:rPr>
                <w:rFonts w:hint="eastAsia" w:ascii="宋体" w:hAnsi="宋体" w:eastAsia="宋体" w:cs="Times New Roman"/>
                <w:kern w:val="2"/>
                <w:sz w:val="21"/>
                <w:szCs w:val="21"/>
              </w:rPr>
              <w:t>（宽500mm）</w:t>
            </w:r>
            <w:r>
              <w:rPr>
                <w:rFonts w:hint="eastAsia" w:ascii="宋体" w:hAnsi="宋体" w:eastAsia="宋体" w:cs="Times New Roman"/>
                <w:kern w:val="2"/>
                <w:sz w:val="21"/>
                <w:szCs w:val="21"/>
                <w:lang w:eastAsia="zh-CN"/>
              </w:rPr>
              <w:t>。</w:t>
            </w:r>
          </w:p>
          <w:p>
            <w:pPr>
              <w:numPr>
                <w:ilvl w:val="0"/>
                <w:numId w:val="41"/>
              </w:numPr>
              <w:tabs>
                <w:tab w:val="left" w:pos="1800"/>
              </w:tabs>
              <w:autoSpaceDE/>
              <w:autoSpaceDN/>
              <w:adjustRightInd/>
              <w:spacing w:line="360" w:lineRule="auto"/>
              <w:ind w:left="0" w:leftChars="0" w:firstLine="284" w:firstLineChars="0"/>
              <w:jc w:val="both"/>
              <w:rPr>
                <w:rFonts w:ascii="宋体" w:hAnsi="宋体" w:eastAsia="宋体" w:cs="宋体"/>
                <w:color w:val="auto"/>
                <w:kern w:val="1"/>
                <w:sz w:val="21"/>
                <w:szCs w:val="21"/>
              </w:rPr>
            </w:pPr>
            <w:r>
              <w:rPr>
                <w:rFonts w:hint="eastAsia" w:ascii="宋体" w:hAnsi="宋体" w:eastAsia="宋体" w:cs="宋体"/>
                <w:kern w:val="1"/>
                <w:sz w:val="21"/>
                <w:szCs w:val="21"/>
                <w:highlight w:val="none"/>
                <w:lang w:val="en-US" w:eastAsia="zh-CN"/>
              </w:rPr>
              <w:t>断桥隔热铝合金窗的组价和信息价调整方法：本工程的节能铝合金门窗按(穿条)断桥隔热考虑，断桥隔热铝合金门窗价格按绍兴信息价正刊价格，玻璃按信息价进行换算编入标底，如实际施工时部分系列型号铝材与玻璃安装不能配套时，不考虑铝材开模等费用，请投标单位根据自身情况综合报价。</w:t>
            </w:r>
          </w:p>
          <w:p>
            <w:pPr>
              <w:numPr>
                <w:ilvl w:val="0"/>
                <w:numId w:val="0"/>
              </w:numPr>
              <w:tabs>
                <w:tab w:val="left" w:pos="1800"/>
              </w:tabs>
              <w:autoSpaceDE/>
              <w:autoSpaceDN/>
              <w:adjustRightInd/>
              <w:spacing w:line="360" w:lineRule="auto"/>
              <w:ind w:left="284" w:leftChars="0"/>
              <w:jc w:val="both"/>
              <w:rPr>
                <w:rFonts w:hint="eastAsia" w:ascii="宋体" w:hAnsi="宋体" w:eastAsia="宋体" w:cs="宋体"/>
                <w:kern w:val="1"/>
                <w:sz w:val="21"/>
                <w:szCs w:val="21"/>
                <w:highlight w:val="none"/>
                <w:lang w:val="en-US" w:eastAsia="zh-CN"/>
              </w:rPr>
            </w:pPr>
            <w:r>
              <w:rPr>
                <w:rFonts w:hint="eastAsia" w:ascii="宋体" w:hAnsi="宋体" w:eastAsia="宋体" w:cs="宋体"/>
                <w:kern w:val="1"/>
                <w:sz w:val="21"/>
                <w:szCs w:val="21"/>
                <w:highlight w:val="none"/>
                <w:lang w:val="en-US" w:eastAsia="zh-CN"/>
              </w:rPr>
              <w:t>断桥隔热门窗铝合金、玻璃具体如下：</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穿条隔热铝合金固定窗</w:t>
            </w:r>
            <w:r>
              <w:rPr>
                <w:rFonts w:hint="eastAsia" w:ascii="Times New Roman" w:hAnsi="Times New Roman" w:eastAsia="宋体" w:cs="Times New Roman"/>
                <w:color w:val="auto"/>
                <w:kern w:val="2"/>
                <w:sz w:val="21"/>
                <w:szCs w:val="21"/>
                <w:highlight w:val="none"/>
                <w:lang w:val="en-US" w:eastAsia="zh-CN"/>
              </w:rPr>
              <w:t>90</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mm（5单银Low-E+12A+5），参穿条隔</w:t>
            </w:r>
            <w:r>
              <w:rPr>
                <w:rFonts w:hint="eastAsia" w:ascii="Times New Roman" w:hAnsi="Times New Roman" w:eastAsia="宋体" w:cs="Times New Roman"/>
                <w:color w:val="auto"/>
                <w:kern w:val="2"/>
                <w:sz w:val="21"/>
                <w:szCs w:val="21"/>
                <w:highlight w:val="none"/>
                <w:lang w:val="en-US" w:eastAsia="zh-CN"/>
              </w:rPr>
              <w:t>热</w:t>
            </w:r>
            <w:r>
              <w:rPr>
                <w:rFonts w:hint="eastAsia" w:ascii="Times New Roman" w:hAnsi="Times New Roman" w:eastAsia="宋体" w:cs="Times New Roman"/>
                <w:color w:val="auto"/>
                <w:kern w:val="2"/>
                <w:sz w:val="21"/>
                <w:szCs w:val="21"/>
                <w:highlight w:val="none"/>
              </w:rPr>
              <w:t>固定窗</w:t>
            </w:r>
            <w:r>
              <w:rPr>
                <w:rFonts w:hint="eastAsia" w:ascii="Times New Roman" w:hAnsi="Times New Roman" w:eastAsia="宋体" w:cs="Times New Roman"/>
                <w:color w:val="auto"/>
                <w:kern w:val="2"/>
                <w:sz w:val="21"/>
                <w:szCs w:val="21"/>
                <w:highlight w:val="none"/>
                <w:lang w:val="en-US" w:eastAsia="zh-CN"/>
              </w:rPr>
              <w:t>89（90）系列</w:t>
            </w:r>
            <w:r>
              <w:rPr>
                <w:rFonts w:hint="eastAsia" w:ascii="Times New Roman" w:hAnsi="Times New Roman" w:eastAsia="宋体" w:cs="Times New Roman"/>
                <w:color w:val="auto"/>
                <w:kern w:val="2"/>
                <w:sz w:val="21"/>
                <w:szCs w:val="21"/>
                <w:highlight w:val="none"/>
              </w:rPr>
              <w:t>，1.</w:t>
            </w:r>
            <w:r>
              <w:rPr>
                <w:rFonts w:hint="eastAsia" w:ascii="Times New Roman" w:hAnsi="Times New Roman" w:eastAsia="宋体" w:cs="Times New Roman"/>
                <w:color w:val="auto"/>
                <w:kern w:val="2"/>
                <w:sz w:val="21"/>
                <w:szCs w:val="21"/>
                <w:highlight w:val="none"/>
                <w:lang w:val="en-US" w:eastAsia="zh-CN"/>
              </w:rPr>
              <w:t>4</w:t>
            </w:r>
            <w:r>
              <w:rPr>
                <w:rFonts w:hint="eastAsia" w:ascii="Times New Roman" w:hAnsi="Times New Roman" w:eastAsia="宋体" w:cs="Times New Roman"/>
                <w:color w:val="auto"/>
                <w:kern w:val="2"/>
                <w:sz w:val="21"/>
                <w:szCs w:val="21"/>
                <w:highlight w:val="none"/>
              </w:rPr>
              <w:t>厚（</w:t>
            </w:r>
            <w:r>
              <w:rPr>
                <w:rFonts w:hint="eastAsia" w:ascii="Times New Roman" w:hAnsi="Times New Roman" w:eastAsia="宋体" w:cs="Times New Roman"/>
                <w:color w:val="auto"/>
                <w:kern w:val="2"/>
                <w:sz w:val="21"/>
                <w:szCs w:val="21"/>
                <w:highlight w:val="none"/>
                <w:lang w:val="en-US" w:eastAsia="zh-CN"/>
              </w:rPr>
              <w:t>6</w:t>
            </w:r>
            <w:r>
              <w:rPr>
                <w:rFonts w:hint="eastAsia" w:ascii="Times New Roman" w:hAnsi="Times New Roman" w:eastAsia="宋体" w:cs="Times New Roman"/>
                <w:color w:val="auto"/>
                <w:kern w:val="2"/>
                <w:sz w:val="21"/>
                <w:szCs w:val="21"/>
                <w:highlight w:val="none"/>
              </w:rPr>
              <w:t>+</w:t>
            </w:r>
            <w:r>
              <w:rPr>
                <w:rFonts w:hint="eastAsia" w:ascii="Times New Roman" w:hAnsi="Times New Roman" w:eastAsia="宋体" w:cs="Times New Roman"/>
                <w:color w:val="auto"/>
                <w:kern w:val="2"/>
                <w:sz w:val="21"/>
                <w:szCs w:val="21"/>
                <w:highlight w:val="none"/>
                <w:lang w:val="en-US" w:eastAsia="zh-CN"/>
              </w:rPr>
              <w:t>12</w:t>
            </w:r>
            <w:r>
              <w:rPr>
                <w:rFonts w:hint="eastAsia" w:ascii="Times New Roman" w:hAnsi="Times New Roman" w:eastAsia="宋体" w:cs="Times New Roman"/>
                <w:color w:val="auto"/>
                <w:kern w:val="2"/>
                <w:sz w:val="21"/>
                <w:szCs w:val="21"/>
                <w:highlight w:val="none"/>
              </w:rPr>
              <w:t>A+</w:t>
            </w:r>
            <w:r>
              <w:rPr>
                <w:rFonts w:hint="eastAsia" w:ascii="Times New Roman" w:hAnsi="Times New Roman" w:eastAsia="宋体" w:cs="Times New Roman"/>
                <w:color w:val="auto"/>
                <w:kern w:val="2"/>
                <w:sz w:val="21"/>
                <w:szCs w:val="21"/>
                <w:highlight w:val="none"/>
                <w:lang w:val="en-US" w:eastAsia="zh-CN"/>
              </w:rPr>
              <w:t>6</w:t>
            </w:r>
            <w:r>
              <w:rPr>
                <w:rFonts w:hint="eastAsia" w:ascii="Times New Roman" w:hAnsi="Times New Roman" w:eastAsia="宋体" w:cs="Times New Roman"/>
                <w:color w:val="auto"/>
                <w:kern w:val="2"/>
                <w:sz w:val="21"/>
                <w:szCs w:val="21"/>
                <w:highlight w:val="none"/>
              </w:rPr>
              <w:t>中空浮玻），信息价组成：</w:t>
            </w:r>
            <w:r>
              <w:rPr>
                <w:rFonts w:hint="eastAsia" w:ascii="Times New Roman" w:hAnsi="Times New Roman" w:eastAsia="宋体" w:cs="Times New Roman"/>
                <w:color w:val="auto"/>
                <w:kern w:val="2"/>
                <w:sz w:val="21"/>
                <w:szCs w:val="21"/>
                <w:highlight w:val="none"/>
                <w:lang w:val="en-US" w:eastAsia="zh-CN"/>
              </w:rPr>
              <w:t>322-110+156+15=383</w:t>
            </w:r>
            <w:r>
              <w:rPr>
                <w:rFonts w:hint="eastAsia" w:ascii="Times New Roman" w:hAnsi="Times New Roman" w:eastAsia="宋体" w:cs="Times New Roman"/>
                <w:color w:val="auto"/>
                <w:kern w:val="2"/>
                <w:sz w:val="21"/>
                <w:szCs w:val="21"/>
                <w:highlight w:val="none"/>
              </w:rPr>
              <w:t>元/m2；</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穿条隔热铝合金</w:t>
            </w:r>
            <w:r>
              <w:rPr>
                <w:rFonts w:hint="eastAsia" w:ascii="Times New Roman" w:hAnsi="Times New Roman" w:eastAsia="宋体" w:cs="Times New Roman"/>
                <w:color w:val="auto"/>
                <w:kern w:val="2"/>
                <w:sz w:val="21"/>
                <w:szCs w:val="21"/>
                <w:highlight w:val="none"/>
                <w:lang w:val="en-US" w:eastAsia="zh-CN"/>
              </w:rPr>
              <w:t>组合</w:t>
            </w:r>
            <w:r>
              <w:rPr>
                <w:rFonts w:hint="eastAsia" w:ascii="Times New Roman" w:hAnsi="Times New Roman" w:eastAsia="宋体" w:cs="Times New Roman"/>
                <w:color w:val="auto"/>
                <w:kern w:val="2"/>
                <w:sz w:val="21"/>
                <w:szCs w:val="21"/>
                <w:highlight w:val="none"/>
              </w:rPr>
              <w:t>窗</w:t>
            </w:r>
            <w:r>
              <w:rPr>
                <w:rFonts w:hint="eastAsia" w:ascii="Times New Roman" w:hAnsi="Times New Roman" w:eastAsia="宋体" w:cs="Times New Roman"/>
                <w:color w:val="auto"/>
                <w:kern w:val="2"/>
                <w:sz w:val="21"/>
                <w:szCs w:val="21"/>
                <w:highlight w:val="none"/>
                <w:lang w:val="en-US" w:eastAsia="zh-CN"/>
              </w:rPr>
              <w:t>90</w:t>
            </w:r>
            <w:r>
              <w:rPr>
                <w:rFonts w:hint="eastAsia" w:ascii="Times New Roman" w:hAnsi="Times New Roman" w:eastAsia="宋体" w:cs="Times New Roman"/>
                <w:color w:val="auto"/>
                <w:kern w:val="2"/>
                <w:sz w:val="21"/>
                <w:szCs w:val="21"/>
                <w:highlight w:val="none"/>
              </w:rPr>
              <w:t>系列，型材壁厚</w:t>
            </w:r>
            <w:r>
              <w:rPr>
                <w:rFonts w:hint="eastAsia" w:ascii="Times New Roman" w:hAnsi="Times New Roman" w:eastAsia="宋体" w:cs="Times New Roman"/>
                <w:color w:val="auto"/>
                <w:kern w:val="2"/>
                <w:sz w:val="21"/>
                <w:szCs w:val="21"/>
                <w:highlight w:val="none"/>
                <w:lang w:val="en-US" w:eastAsia="zh-CN"/>
              </w:rPr>
              <w:t>2.2</w:t>
            </w:r>
            <w:r>
              <w:rPr>
                <w:rFonts w:hint="eastAsia" w:ascii="Times New Roman" w:hAnsi="Times New Roman" w:eastAsia="宋体" w:cs="Times New Roman"/>
                <w:color w:val="auto"/>
                <w:kern w:val="2"/>
                <w:sz w:val="21"/>
                <w:szCs w:val="21"/>
                <w:highlight w:val="none"/>
              </w:rPr>
              <w:t>mm（中空三钢化玻璃5+12A+5+12A+5Low-E），参穿条隔</w:t>
            </w:r>
            <w:r>
              <w:rPr>
                <w:rFonts w:hint="eastAsia" w:ascii="Times New Roman" w:hAnsi="Times New Roman" w:eastAsia="宋体" w:cs="Times New Roman"/>
                <w:color w:val="auto"/>
                <w:kern w:val="2"/>
                <w:sz w:val="21"/>
                <w:szCs w:val="21"/>
                <w:highlight w:val="none"/>
                <w:lang w:val="en-US" w:eastAsia="zh-CN"/>
              </w:rPr>
              <w:t>热</w:t>
            </w:r>
            <w:r>
              <w:rPr>
                <w:rFonts w:hint="eastAsia" w:ascii="Times New Roman" w:hAnsi="Times New Roman" w:eastAsia="宋体" w:cs="Times New Roman"/>
                <w:color w:val="auto"/>
                <w:kern w:val="2"/>
                <w:sz w:val="21"/>
                <w:szCs w:val="21"/>
                <w:highlight w:val="none"/>
              </w:rPr>
              <w:t>固定窗</w:t>
            </w:r>
            <w:r>
              <w:rPr>
                <w:rFonts w:hint="eastAsia" w:ascii="Times New Roman" w:hAnsi="Times New Roman" w:eastAsia="宋体" w:cs="Times New Roman"/>
                <w:color w:val="auto"/>
                <w:kern w:val="2"/>
                <w:sz w:val="21"/>
                <w:szCs w:val="21"/>
                <w:highlight w:val="none"/>
                <w:lang w:val="en-US" w:eastAsia="zh-CN"/>
              </w:rPr>
              <w:t>89（90）系列</w:t>
            </w:r>
            <w:r>
              <w:rPr>
                <w:rFonts w:hint="eastAsia" w:ascii="Times New Roman" w:hAnsi="Times New Roman" w:eastAsia="宋体" w:cs="Times New Roman"/>
                <w:color w:val="auto"/>
                <w:kern w:val="2"/>
                <w:sz w:val="21"/>
                <w:szCs w:val="21"/>
                <w:highlight w:val="none"/>
              </w:rPr>
              <w:t>，1.4厚（</w:t>
            </w:r>
            <w:r>
              <w:rPr>
                <w:rFonts w:hint="eastAsia" w:ascii="Times New Roman" w:hAnsi="Times New Roman" w:eastAsia="宋体" w:cs="Times New Roman"/>
                <w:color w:val="auto"/>
                <w:kern w:val="2"/>
                <w:sz w:val="21"/>
                <w:szCs w:val="21"/>
                <w:highlight w:val="none"/>
                <w:lang w:val="en-US" w:eastAsia="zh-CN"/>
              </w:rPr>
              <w:t>6</w:t>
            </w:r>
            <w:r>
              <w:rPr>
                <w:rFonts w:hint="eastAsia" w:ascii="Times New Roman" w:hAnsi="Times New Roman" w:eastAsia="宋体" w:cs="Times New Roman"/>
                <w:color w:val="auto"/>
                <w:kern w:val="2"/>
                <w:sz w:val="21"/>
                <w:szCs w:val="21"/>
                <w:highlight w:val="none"/>
              </w:rPr>
              <w:t>+</w:t>
            </w:r>
            <w:r>
              <w:rPr>
                <w:rFonts w:hint="eastAsia" w:ascii="Times New Roman" w:hAnsi="Times New Roman" w:eastAsia="宋体" w:cs="Times New Roman"/>
                <w:color w:val="auto"/>
                <w:kern w:val="2"/>
                <w:sz w:val="21"/>
                <w:szCs w:val="21"/>
                <w:highlight w:val="none"/>
                <w:lang w:val="en-US" w:eastAsia="zh-CN"/>
              </w:rPr>
              <w:t>12</w:t>
            </w:r>
            <w:r>
              <w:rPr>
                <w:rFonts w:hint="eastAsia" w:ascii="Times New Roman" w:hAnsi="Times New Roman" w:eastAsia="宋体" w:cs="Times New Roman"/>
                <w:color w:val="auto"/>
                <w:kern w:val="2"/>
                <w:sz w:val="21"/>
                <w:szCs w:val="21"/>
                <w:highlight w:val="none"/>
              </w:rPr>
              <w:t>A+</w:t>
            </w:r>
            <w:r>
              <w:rPr>
                <w:rFonts w:hint="eastAsia" w:ascii="Times New Roman" w:hAnsi="Times New Roman" w:eastAsia="宋体" w:cs="Times New Roman"/>
                <w:color w:val="auto"/>
                <w:kern w:val="2"/>
                <w:sz w:val="21"/>
                <w:szCs w:val="21"/>
                <w:highlight w:val="none"/>
                <w:lang w:val="en-US" w:eastAsia="zh-CN"/>
              </w:rPr>
              <w:t>6</w:t>
            </w:r>
            <w:r>
              <w:rPr>
                <w:rFonts w:hint="eastAsia" w:ascii="Times New Roman" w:hAnsi="Times New Roman" w:eastAsia="宋体" w:cs="Times New Roman"/>
                <w:color w:val="auto"/>
                <w:kern w:val="2"/>
                <w:sz w:val="21"/>
                <w:szCs w:val="21"/>
                <w:highlight w:val="none"/>
              </w:rPr>
              <w:t>中空浮玻），信息价组成：</w:t>
            </w:r>
            <w:r>
              <w:rPr>
                <w:rFonts w:hint="eastAsia" w:ascii="Times New Roman" w:hAnsi="Times New Roman" w:eastAsia="宋体" w:cs="Times New Roman"/>
                <w:color w:val="auto"/>
                <w:kern w:val="2"/>
                <w:sz w:val="21"/>
                <w:szCs w:val="21"/>
                <w:highlight w:val="none"/>
                <w:lang w:val="en-US" w:eastAsia="zh-CN"/>
              </w:rPr>
              <w:t>322-110+275+30=517</w:t>
            </w:r>
            <w:r>
              <w:rPr>
                <w:rFonts w:hint="eastAsia" w:ascii="Times New Roman" w:hAnsi="Times New Roman" w:eastAsia="宋体" w:cs="Times New Roman"/>
                <w:color w:val="auto"/>
                <w:kern w:val="2"/>
                <w:sz w:val="21"/>
                <w:szCs w:val="21"/>
                <w:highlight w:val="none"/>
              </w:rPr>
              <w:t>元/m2；</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穿条隔热铝合金</w:t>
            </w:r>
            <w:r>
              <w:rPr>
                <w:rFonts w:hint="eastAsia" w:ascii="Times New Roman" w:hAnsi="Times New Roman" w:eastAsia="宋体" w:cs="Times New Roman"/>
                <w:color w:val="auto"/>
                <w:kern w:val="2"/>
                <w:sz w:val="21"/>
                <w:szCs w:val="21"/>
                <w:highlight w:val="none"/>
                <w:lang w:val="en-US" w:eastAsia="zh-CN"/>
              </w:rPr>
              <w:t>组合</w:t>
            </w:r>
            <w:r>
              <w:rPr>
                <w:rFonts w:hint="eastAsia" w:ascii="Times New Roman" w:hAnsi="Times New Roman" w:eastAsia="宋体" w:cs="Times New Roman"/>
                <w:color w:val="auto"/>
                <w:kern w:val="2"/>
                <w:sz w:val="21"/>
                <w:szCs w:val="21"/>
                <w:highlight w:val="none"/>
              </w:rPr>
              <w:t>窗6</w:t>
            </w:r>
            <w:r>
              <w:rPr>
                <w:rFonts w:hint="eastAsia" w:ascii="Times New Roman" w:hAnsi="Times New Roman" w:eastAsia="宋体" w:cs="Times New Roman"/>
                <w:color w:val="auto"/>
                <w:kern w:val="2"/>
                <w:sz w:val="21"/>
                <w:szCs w:val="21"/>
                <w:highlight w:val="none"/>
                <w:lang w:val="en-US" w:eastAsia="zh-CN"/>
              </w:rPr>
              <w:t>5</w:t>
            </w:r>
            <w:r>
              <w:rPr>
                <w:rFonts w:hint="eastAsia" w:ascii="Times New Roman" w:hAnsi="Times New Roman" w:eastAsia="宋体" w:cs="Times New Roman"/>
                <w:color w:val="auto"/>
                <w:kern w:val="2"/>
                <w:sz w:val="21"/>
                <w:szCs w:val="21"/>
                <w:highlight w:val="none"/>
              </w:rPr>
              <w:t>系列，型材壁厚</w:t>
            </w:r>
            <w:r>
              <w:rPr>
                <w:rFonts w:hint="eastAsia" w:ascii="Times New Roman" w:hAnsi="Times New Roman" w:eastAsia="宋体" w:cs="Times New Roman"/>
                <w:color w:val="auto"/>
                <w:kern w:val="2"/>
                <w:sz w:val="21"/>
                <w:szCs w:val="21"/>
                <w:highlight w:val="none"/>
                <w:lang w:val="en-US" w:eastAsia="zh-CN"/>
              </w:rPr>
              <w:t>2.2</w:t>
            </w:r>
            <w:r>
              <w:rPr>
                <w:rFonts w:hint="eastAsia" w:ascii="Times New Roman" w:hAnsi="Times New Roman" w:eastAsia="宋体" w:cs="Times New Roman"/>
                <w:color w:val="auto"/>
                <w:kern w:val="2"/>
                <w:sz w:val="21"/>
                <w:szCs w:val="21"/>
                <w:highlight w:val="none"/>
              </w:rPr>
              <w:t>mm（中空三钢化玻璃5+12A+5+12A+5Low-E），参穿条隔热铝合金平开窗</w:t>
            </w:r>
            <w:r>
              <w:rPr>
                <w:rFonts w:hint="eastAsia" w:ascii="Times New Roman" w:hAnsi="Times New Roman" w:eastAsia="宋体" w:cs="Times New Roman"/>
                <w:color w:val="auto"/>
                <w:kern w:val="2"/>
                <w:sz w:val="21"/>
                <w:szCs w:val="21"/>
                <w:highlight w:val="none"/>
                <w:lang w:val="en-US" w:eastAsia="zh-CN"/>
              </w:rPr>
              <w:t>65</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mm（6</w:t>
            </w:r>
            <w:r>
              <w:rPr>
                <w:rFonts w:hint="eastAsia" w:ascii="Times New Roman" w:hAnsi="Times New Roman" w:eastAsia="宋体" w:cs="Times New Roman"/>
                <w:color w:val="auto"/>
                <w:kern w:val="2"/>
                <w:sz w:val="21"/>
                <w:szCs w:val="21"/>
                <w:highlight w:val="none"/>
                <w:lang w:val="en-US" w:eastAsia="zh-CN"/>
              </w:rPr>
              <w:t>LOW-E</w:t>
            </w:r>
            <w:r>
              <w:rPr>
                <w:rFonts w:hint="eastAsia" w:ascii="Times New Roman" w:hAnsi="Times New Roman" w:eastAsia="宋体" w:cs="Times New Roman"/>
                <w:color w:val="auto"/>
                <w:kern w:val="2"/>
                <w:sz w:val="21"/>
                <w:szCs w:val="21"/>
                <w:highlight w:val="none"/>
              </w:rPr>
              <w:t>+12A+6</w:t>
            </w:r>
            <w:r>
              <w:rPr>
                <w:rFonts w:hint="eastAsia" w:ascii="Times New Roman" w:hAnsi="Times New Roman" w:eastAsia="宋体" w:cs="Times New Roman"/>
                <w:color w:val="auto"/>
                <w:kern w:val="2"/>
                <w:sz w:val="21"/>
                <w:szCs w:val="21"/>
                <w:highlight w:val="none"/>
                <w:lang w:val="en-US" w:eastAsia="zh-CN"/>
              </w:rPr>
              <w:t>双白钢化中空玻璃</w:t>
            </w:r>
            <w:r>
              <w:rPr>
                <w:rFonts w:hint="eastAsia" w:ascii="Times New Roman" w:hAnsi="Times New Roman" w:eastAsia="宋体" w:cs="Times New Roman"/>
                <w:color w:val="auto"/>
                <w:kern w:val="2"/>
                <w:sz w:val="21"/>
                <w:szCs w:val="21"/>
                <w:highlight w:val="none"/>
              </w:rPr>
              <w:t>），信息价组成：</w:t>
            </w:r>
            <w:r>
              <w:rPr>
                <w:rFonts w:hint="eastAsia" w:ascii="Times New Roman" w:hAnsi="Times New Roman" w:eastAsia="宋体" w:cs="Times New Roman"/>
                <w:color w:val="auto"/>
                <w:kern w:val="2"/>
                <w:sz w:val="21"/>
                <w:szCs w:val="21"/>
                <w:highlight w:val="none"/>
                <w:lang w:val="en-US" w:eastAsia="zh-CN"/>
              </w:rPr>
              <w:t>753-172+275+15=871</w:t>
            </w:r>
            <w:r>
              <w:rPr>
                <w:rFonts w:hint="eastAsia" w:ascii="Times New Roman" w:hAnsi="Times New Roman" w:eastAsia="宋体" w:cs="Times New Roman"/>
                <w:color w:val="auto"/>
                <w:kern w:val="2"/>
                <w:sz w:val="21"/>
                <w:szCs w:val="21"/>
                <w:highlight w:val="none"/>
              </w:rPr>
              <w:t>元/m2；</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穿条隔热铝合金平开窗6</w:t>
            </w:r>
            <w:r>
              <w:rPr>
                <w:rFonts w:hint="eastAsia" w:ascii="Times New Roman" w:hAnsi="Times New Roman" w:eastAsia="宋体" w:cs="Times New Roman"/>
                <w:color w:val="auto"/>
                <w:kern w:val="2"/>
                <w:sz w:val="21"/>
                <w:szCs w:val="21"/>
                <w:highlight w:val="none"/>
                <w:lang w:val="en-US" w:eastAsia="zh-CN"/>
              </w:rPr>
              <w:t>5</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mm（中空三钢化玻璃5+12A+5+12A+5Low-E），参穿条隔热铝合金平开窗</w:t>
            </w:r>
            <w:r>
              <w:rPr>
                <w:rFonts w:hint="eastAsia" w:ascii="Times New Roman" w:hAnsi="Times New Roman" w:eastAsia="宋体" w:cs="Times New Roman"/>
                <w:color w:val="auto"/>
                <w:kern w:val="2"/>
                <w:sz w:val="21"/>
                <w:szCs w:val="21"/>
                <w:highlight w:val="none"/>
                <w:lang w:val="en-US" w:eastAsia="zh-CN"/>
              </w:rPr>
              <w:t>65</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mm（6</w:t>
            </w:r>
            <w:r>
              <w:rPr>
                <w:rFonts w:hint="eastAsia" w:ascii="Times New Roman" w:hAnsi="Times New Roman" w:eastAsia="宋体" w:cs="Times New Roman"/>
                <w:color w:val="auto"/>
                <w:kern w:val="2"/>
                <w:sz w:val="21"/>
                <w:szCs w:val="21"/>
                <w:highlight w:val="none"/>
                <w:lang w:val="en-US" w:eastAsia="zh-CN"/>
              </w:rPr>
              <w:t>LOW-E</w:t>
            </w:r>
            <w:r>
              <w:rPr>
                <w:rFonts w:hint="eastAsia" w:ascii="Times New Roman" w:hAnsi="Times New Roman" w:eastAsia="宋体" w:cs="Times New Roman"/>
                <w:color w:val="auto"/>
                <w:kern w:val="2"/>
                <w:sz w:val="21"/>
                <w:szCs w:val="21"/>
                <w:highlight w:val="none"/>
              </w:rPr>
              <w:t>+12A+6</w:t>
            </w:r>
            <w:r>
              <w:rPr>
                <w:rFonts w:hint="eastAsia" w:ascii="Times New Roman" w:hAnsi="Times New Roman" w:eastAsia="宋体" w:cs="Times New Roman"/>
                <w:color w:val="auto"/>
                <w:kern w:val="2"/>
                <w:sz w:val="21"/>
                <w:szCs w:val="21"/>
                <w:highlight w:val="none"/>
                <w:lang w:val="en-US" w:eastAsia="zh-CN"/>
              </w:rPr>
              <w:t>双白钢化中空玻璃</w:t>
            </w:r>
            <w:r>
              <w:rPr>
                <w:rFonts w:hint="eastAsia" w:ascii="Times New Roman" w:hAnsi="Times New Roman" w:eastAsia="宋体" w:cs="Times New Roman"/>
                <w:color w:val="auto"/>
                <w:kern w:val="2"/>
                <w:sz w:val="21"/>
                <w:szCs w:val="21"/>
                <w:highlight w:val="none"/>
              </w:rPr>
              <w:t>），信息价组成：</w:t>
            </w:r>
            <w:r>
              <w:rPr>
                <w:rFonts w:hint="eastAsia" w:ascii="Times New Roman" w:hAnsi="Times New Roman" w:eastAsia="宋体" w:cs="Times New Roman"/>
                <w:color w:val="auto"/>
                <w:kern w:val="2"/>
                <w:sz w:val="21"/>
                <w:szCs w:val="21"/>
                <w:highlight w:val="none"/>
                <w:lang w:val="en-US" w:eastAsia="zh-CN"/>
              </w:rPr>
              <w:t>753-172+275=856</w:t>
            </w:r>
            <w:r>
              <w:rPr>
                <w:rFonts w:hint="eastAsia" w:ascii="Times New Roman" w:hAnsi="Times New Roman" w:eastAsia="宋体" w:cs="Times New Roman"/>
                <w:color w:val="auto"/>
                <w:kern w:val="2"/>
                <w:sz w:val="21"/>
                <w:szCs w:val="21"/>
                <w:highlight w:val="none"/>
              </w:rPr>
              <w:t>元/m2；</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穿条隔热铝合金平开窗6</w:t>
            </w:r>
            <w:r>
              <w:rPr>
                <w:rFonts w:hint="eastAsia" w:ascii="Times New Roman" w:hAnsi="Times New Roman" w:eastAsia="宋体" w:cs="Times New Roman"/>
                <w:color w:val="auto"/>
                <w:kern w:val="2"/>
                <w:sz w:val="21"/>
                <w:szCs w:val="21"/>
                <w:highlight w:val="none"/>
                <w:lang w:val="en-US" w:eastAsia="zh-CN"/>
              </w:rPr>
              <w:t>5</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mm（5单银Low-E+12A+5），参穿条隔热铝合金平开窗</w:t>
            </w:r>
            <w:r>
              <w:rPr>
                <w:rFonts w:hint="eastAsia" w:ascii="Times New Roman" w:hAnsi="Times New Roman" w:eastAsia="宋体" w:cs="Times New Roman"/>
                <w:color w:val="auto"/>
                <w:kern w:val="2"/>
                <w:sz w:val="21"/>
                <w:szCs w:val="21"/>
                <w:highlight w:val="none"/>
                <w:lang w:val="en-US" w:eastAsia="zh-CN"/>
              </w:rPr>
              <w:t>65</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mm（6</w:t>
            </w:r>
            <w:r>
              <w:rPr>
                <w:rFonts w:hint="eastAsia" w:ascii="Times New Roman" w:hAnsi="Times New Roman" w:eastAsia="宋体" w:cs="Times New Roman"/>
                <w:color w:val="auto"/>
                <w:kern w:val="2"/>
                <w:sz w:val="21"/>
                <w:szCs w:val="21"/>
                <w:highlight w:val="none"/>
                <w:lang w:val="en-US" w:eastAsia="zh-CN"/>
              </w:rPr>
              <w:t>LOW-E</w:t>
            </w:r>
            <w:r>
              <w:rPr>
                <w:rFonts w:hint="eastAsia" w:ascii="Times New Roman" w:hAnsi="Times New Roman" w:eastAsia="宋体" w:cs="Times New Roman"/>
                <w:color w:val="auto"/>
                <w:kern w:val="2"/>
                <w:sz w:val="21"/>
                <w:szCs w:val="21"/>
                <w:highlight w:val="none"/>
              </w:rPr>
              <w:t>+12A+6</w:t>
            </w:r>
            <w:r>
              <w:rPr>
                <w:rFonts w:hint="eastAsia" w:ascii="Times New Roman" w:hAnsi="Times New Roman" w:eastAsia="宋体" w:cs="Times New Roman"/>
                <w:color w:val="auto"/>
                <w:kern w:val="2"/>
                <w:sz w:val="21"/>
                <w:szCs w:val="21"/>
                <w:highlight w:val="none"/>
                <w:lang w:val="en-US" w:eastAsia="zh-CN"/>
              </w:rPr>
              <w:t>双白钢化中空玻璃</w:t>
            </w:r>
            <w:r>
              <w:rPr>
                <w:rFonts w:hint="eastAsia" w:ascii="Times New Roman" w:hAnsi="Times New Roman" w:eastAsia="宋体" w:cs="Times New Roman"/>
                <w:color w:val="auto"/>
                <w:kern w:val="2"/>
                <w:sz w:val="21"/>
                <w:szCs w:val="21"/>
                <w:highlight w:val="none"/>
              </w:rPr>
              <w:t>），信息价组成：</w:t>
            </w:r>
            <w:r>
              <w:rPr>
                <w:rFonts w:hint="eastAsia" w:ascii="Times New Roman" w:hAnsi="Times New Roman" w:eastAsia="宋体" w:cs="Times New Roman"/>
                <w:color w:val="auto"/>
                <w:kern w:val="2"/>
                <w:sz w:val="21"/>
                <w:szCs w:val="21"/>
                <w:highlight w:val="none"/>
                <w:lang w:val="en-US" w:eastAsia="zh-CN"/>
              </w:rPr>
              <w:t>753-172+156=737</w:t>
            </w:r>
            <w:r>
              <w:rPr>
                <w:rFonts w:hint="eastAsia" w:ascii="Times New Roman" w:hAnsi="Times New Roman" w:eastAsia="宋体" w:cs="Times New Roman"/>
                <w:color w:val="auto"/>
                <w:kern w:val="2"/>
                <w:sz w:val="21"/>
                <w:szCs w:val="21"/>
                <w:highlight w:val="none"/>
              </w:rPr>
              <w:t>元/m2；</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穿条隔热铝合金推拉窗</w:t>
            </w:r>
            <w:r>
              <w:rPr>
                <w:rFonts w:hint="eastAsia" w:ascii="Times New Roman" w:hAnsi="Times New Roman" w:eastAsia="宋体" w:cs="Times New Roman"/>
                <w:color w:val="auto"/>
                <w:kern w:val="2"/>
                <w:sz w:val="21"/>
                <w:szCs w:val="21"/>
                <w:highlight w:val="none"/>
                <w:lang w:val="en-US" w:eastAsia="zh-CN"/>
              </w:rPr>
              <w:t>90</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mm（中空三钢化玻璃5+12A+5+12A+5Low-E），参穿条隔热铝合金</w:t>
            </w:r>
            <w:r>
              <w:rPr>
                <w:rFonts w:hint="eastAsia" w:ascii="Times New Roman" w:hAnsi="Times New Roman" w:eastAsia="宋体" w:cs="Times New Roman"/>
                <w:color w:val="auto"/>
                <w:kern w:val="2"/>
                <w:sz w:val="21"/>
                <w:szCs w:val="21"/>
                <w:highlight w:val="none"/>
                <w:lang w:val="en-US" w:eastAsia="zh-CN"/>
              </w:rPr>
              <w:t>推拉</w:t>
            </w:r>
            <w:r>
              <w:rPr>
                <w:rFonts w:hint="eastAsia" w:ascii="Times New Roman" w:hAnsi="Times New Roman" w:eastAsia="宋体" w:cs="Times New Roman"/>
                <w:color w:val="auto"/>
                <w:kern w:val="2"/>
                <w:sz w:val="21"/>
                <w:szCs w:val="21"/>
                <w:highlight w:val="none"/>
              </w:rPr>
              <w:t>窗</w:t>
            </w:r>
            <w:r>
              <w:rPr>
                <w:rFonts w:hint="eastAsia" w:ascii="Times New Roman" w:hAnsi="Times New Roman" w:eastAsia="宋体" w:cs="Times New Roman"/>
                <w:color w:val="auto"/>
                <w:kern w:val="2"/>
                <w:sz w:val="21"/>
                <w:szCs w:val="21"/>
                <w:highlight w:val="none"/>
                <w:lang w:val="en-US" w:eastAsia="zh-CN"/>
              </w:rPr>
              <w:t>90</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mm（6</w:t>
            </w:r>
            <w:r>
              <w:rPr>
                <w:rFonts w:hint="eastAsia" w:ascii="Times New Roman" w:hAnsi="Times New Roman" w:eastAsia="宋体" w:cs="Times New Roman"/>
                <w:color w:val="auto"/>
                <w:kern w:val="2"/>
                <w:sz w:val="21"/>
                <w:szCs w:val="21"/>
                <w:highlight w:val="none"/>
                <w:lang w:val="en-US" w:eastAsia="zh-CN"/>
              </w:rPr>
              <w:t>LOW-E</w:t>
            </w:r>
            <w:r>
              <w:rPr>
                <w:rFonts w:hint="eastAsia" w:ascii="Times New Roman" w:hAnsi="Times New Roman" w:eastAsia="宋体" w:cs="Times New Roman"/>
                <w:color w:val="auto"/>
                <w:kern w:val="2"/>
                <w:sz w:val="21"/>
                <w:szCs w:val="21"/>
                <w:highlight w:val="none"/>
              </w:rPr>
              <w:t>+12A+6</w:t>
            </w:r>
            <w:r>
              <w:rPr>
                <w:rFonts w:hint="eastAsia" w:ascii="Times New Roman" w:hAnsi="Times New Roman" w:eastAsia="宋体" w:cs="Times New Roman"/>
                <w:color w:val="auto"/>
                <w:kern w:val="2"/>
                <w:sz w:val="21"/>
                <w:szCs w:val="21"/>
                <w:highlight w:val="none"/>
                <w:lang w:val="en-US" w:eastAsia="zh-CN"/>
              </w:rPr>
              <w:t>双白钢化中空玻璃</w:t>
            </w:r>
            <w:r>
              <w:rPr>
                <w:rFonts w:hint="eastAsia" w:ascii="Times New Roman" w:hAnsi="Times New Roman" w:eastAsia="宋体" w:cs="Times New Roman"/>
                <w:color w:val="auto"/>
                <w:kern w:val="2"/>
                <w:sz w:val="21"/>
                <w:szCs w:val="21"/>
                <w:highlight w:val="none"/>
              </w:rPr>
              <w:t>），信息价组成：</w:t>
            </w:r>
            <w:r>
              <w:rPr>
                <w:rFonts w:hint="eastAsia" w:ascii="Times New Roman" w:hAnsi="Times New Roman" w:eastAsia="宋体" w:cs="Times New Roman"/>
                <w:color w:val="auto"/>
                <w:kern w:val="2"/>
                <w:sz w:val="21"/>
                <w:szCs w:val="21"/>
                <w:highlight w:val="none"/>
                <w:lang w:val="en-US" w:eastAsia="zh-CN"/>
              </w:rPr>
              <w:t>654-172+275=757</w:t>
            </w:r>
            <w:r>
              <w:rPr>
                <w:rFonts w:hint="eastAsia" w:ascii="Times New Roman" w:hAnsi="Times New Roman" w:eastAsia="宋体" w:cs="Times New Roman"/>
                <w:color w:val="auto"/>
                <w:kern w:val="2"/>
                <w:sz w:val="21"/>
                <w:szCs w:val="21"/>
                <w:highlight w:val="none"/>
              </w:rPr>
              <w:t>元/m2；</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穿条隔热铝合金推拉窗</w:t>
            </w:r>
            <w:r>
              <w:rPr>
                <w:rFonts w:hint="eastAsia" w:ascii="Times New Roman" w:hAnsi="Times New Roman" w:eastAsia="宋体" w:cs="Times New Roman"/>
                <w:color w:val="auto"/>
                <w:kern w:val="2"/>
                <w:sz w:val="21"/>
                <w:szCs w:val="21"/>
                <w:highlight w:val="none"/>
                <w:lang w:val="en-US" w:eastAsia="zh-CN"/>
              </w:rPr>
              <w:t>90</w:t>
            </w:r>
            <w:r>
              <w:rPr>
                <w:rFonts w:hint="eastAsia" w:ascii="Times New Roman" w:hAnsi="Times New Roman" w:eastAsia="宋体" w:cs="Times New Roman"/>
                <w:color w:val="auto"/>
                <w:kern w:val="2"/>
                <w:sz w:val="21"/>
                <w:szCs w:val="21"/>
                <w:highlight w:val="none"/>
              </w:rPr>
              <w:t>系列，型材壁厚1.</w:t>
            </w:r>
            <w:r>
              <w:rPr>
                <w:rFonts w:hint="eastAsia" w:ascii="Times New Roman" w:hAnsi="Times New Roman" w:eastAsia="宋体" w:cs="Times New Roman"/>
                <w:color w:val="auto"/>
                <w:kern w:val="2"/>
                <w:sz w:val="21"/>
                <w:szCs w:val="21"/>
                <w:highlight w:val="none"/>
                <w:lang w:val="en-US" w:eastAsia="zh-CN"/>
              </w:rPr>
              <w:t>8</w:t>
            </w:r>
            <w:r>
              <w:rPr>
                <w:rFonts w:hint="eastAsia" w:ascii="Times New Roman" w:hAnsi="Times New Roman" w:eastAsia="宋体" w:cs="Times New Roman"/>
                <w:color w:val="auto"/>
                <w:kern w:val="2"/>
                <w:sz w:val="21"/>
                <w:szCs w:val="21"/>
                <w:highlight w:val="none"/>
              </w:rPr>
              <w:t>mm（5单银Low-E+12A+5），参穿条隔热铝合推拉窗85系列，型材壁厚1.4mm（5+9A+5中空浮玻），信息价组成：</w:t>
            </w:r>
            <w:r>
              <w:rPr>
                <w:rFonts w:hint="eastAsia" w:ascii="Times New Roman" w:hAnsi="Times New Roman" w:eastAsia="宋体" w:cs="Times New Roman"/>
                <w:color w:val="auto"/>
                <w:kern w:val="2"/>
                <w:sz w:val="21"/>
                <w:szCs w:val="21"/>
                <w:highlight w:val="none"/>
                <w:lang w:val="en-US" w:eastAsia="zh-CN"/>
              </w:rPr>
              <w:t>654-172+156=638</w:t>
            </w:r>
            <w:r>
              <w:rPr>
                <w:rFonts w:hint="eastAsia" w:ascii="Times New Roman" w:hAnsi="Times New Roman" w:eastAsia="宋体" w:cs="Times New Roman"/>
                <w:color w:val="auto"/>
                <w:kern w:val="2"/>
                <w:sz w:val="21"/>
                <w:szCs w:val="21"/>
                <w:highlight w:val="none"/>
              </w:rPr>
              <w:t>元/m2；</w:t>
            </w:r>
          </w:p>
          <w:p>
            <w:pPr>
              <w:numPr>
                <w:ilvl w:val="0"/>
                <w:numId w:val="42"/>
              </w:numPr>
              <w:tabs>
                <w:tab w:val="left" w:pos="540"/>
              </w:tabs>
              <w:autoSpaceDE/>
              <w:autoSpaceDN/>
              <w:adjustRightInd/>
              <w:spacing w:line="500" w:lineRule="exact"/>
              <w:ind w:left="0" w:leftChars="0" w:firstLine="282" w:firstLineChars="0"/>
              <w:jc w:val="both"/>
              <w:rPr>
                <w:rFonts w:hint="eastAsia"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rPr>
              <w:t>穿条隔热铝合金推拉门</w:t>
            </w:r>
            <w:r>
              <w:rPr>
                <w:rFonts w:hint="eastAsia" w:ascii="Times New Roman" w:hAnsi="Times New Roman" w:eastAsia="宋体" w:cs="Times New Roman"/>
                <w:color w:val="auto"/>
                <w:kern w:val="2"/>
                <w:sz w:val="21"/>
                <w:szCs w:val="21"/>
                <w:highlight w:val="none"/>
                <w:lang w:val="en-US" w:eastAsia="zh-CN"/>
              </w:rPr>
              <w:t>90</w:t>
            </w:r>
            <w:r>
              <w:rPr>
                <w:rFonts w:hint="eastAsia" w:ascii="Times New Roman" w:hAnsi="Times New Roman" w:eastAsia="宋体" w:cs="Times New Roman"/>
                <w:color w:val="auto"/>
                <w:kern w:val="2"/>
                <w:sz w:val="21"/>
                <w:szCs w:val="21"/>
                <w:highlight w:val="none"/>
              </w:rPr>
              <w:t>系列，型材壁厚2.</w:t>
            </w:r>
            <w:r>
              <w:rPr>
                <w:rFonts w:hint="eastAsia" w:ascii="Times New Roman" w:hAnsi="Times New Roman" w:eastAsia="宋体" w:cs="Times New Roman"/>
                <w:color w:val="auto"/>
                <w:kern w:val="2"/>
                <w:sz w:val="21"/>
                <w:szCs w:val="21"/>
                <w:highlight w:val="none"/>
                <w:lang w:val="en-US" w:eastAsia="zh-CN"/>
              </w:rPr>
              <w:t>2</w:t>
            </w:r>
            <w:r>
              <w:rPr>
                <w:rFonts w:hint="eastAsia" w:ascii="Times New Roman" w:hAnsi="Times New Roman" w:eastAsia="宋体" w:cs="Times New Roman"/>
                <w:color w:val="auto"/>
                <w:kern w:val="2"/>
                <w:sz w:val="21"/>
                <w:szCs w:val="21"/>
                <w:highlight w:val="none"/>
              </w:rPr>
              <w:t>mm（中空三钢化玻璃5+12A+5+12A+5Low-E），参穿条隔热铝合金推拉门</w:t>
            </w:r>
            <w:r>
              <w:rPr>
                <w:rFonts w:hint="eastAsia" w:ascii="Times New Roman" w:hAnsi="Times New Roman" w:eastAsia="宋体" w:cs="Times New Roman"/>
                <w:color w:val="auto"/>
                <w:kern w:val="2"/>
                <w:sz w:val="21"/>
                <w:szCs w:val="21"/>
                <w:highlight w:val="none"/>
                <w:lang w:val="en-US" w:eastAsia="zh-CN"/>
              </w:rPr>
              <w:t>90</w:t>
            </w:r>
            <w:r>
              <w:rPr>
                <w:rFonts w:hint="eastAsia" w:ascii="Times New Roman" w:hAnsi="Times New Roman" w:eastAsia="宋体" w:cs="Times New Roman"/>
                <w:color w:val="auto"/>
                <w:kern w:val="2"/>
                <w:sz w:val="21"/>
                <w:szCs w:val="21"/>
                <w:highlight w:val="none"/>
              </w:rPr>
              <w:t>系列，型材壁厚2.</w:t>
            </w:r>
            <w:r>
              <w:rPr>
                <w:rFonts w:hint="eastAsia" w:ascii="Times New Roman" w:hAnsi="Times New Roman" w:eastAsia="宋体" w:cs="Times New Roman"/>
                <w:color w:val="auto"/>
                <w:kern w:val="2"/>
                <w:sz w:val="21"/>
                <w:szCs w:val="21"/>
                <w:highlight w:val="none"/>
                <w:lang w:val="en-US" w:eastAsia="zh-CN"/>
              </w:rPr>
              <w:t>2</w:t>
            </w:r>
            <w:r>
              <w:rPr>
                <w:rFonts w:hint="eastAsia" w:ascii="Times New Roman" w:hAnsi="Times New Roman" w:eastAsia="宋体" w:cs="Times New Roman"/>
                <w:color w:val="auto"/>
                <w:kern w:val="2"/>
                <w:sz w:val="21"/>
                <w:szCs w:val="21"/>
                <w:highlight w:val="none"/>
              </w:rPr>
              <w:t>mm（6</w:t>
            </w:r>
            <w:r>
              <w:rPr>
                <w:rFonts w:hint="eastAsia" w:ascii="Times New Roman" w:hAnsi="Times New Roman" w:eastAsia="宋体" w:cs="Times New Roman"/>
                <w:color w:val="auto"/>
                <w:kern w:val="2"/>
                <w:sz w:val="21"/>
                <w:szCs w:val="21"/>
                <w:highlight w:val="none"/>
                <w:lang w:val="en-US" w:eastAsia="zh-CN"/>
              </w:rPr>
              <w:t>LOW-E</w:t>
            </w:r>
            <w:r>
              <w:rPr>
                <w:rFonts w:hint="eastAsia" w:ascii="Times New Roman" w:hAnsi="Times New Roman" w:eastAsia="宋体" w:cs="Times New Roman"/>
                <w:color w:val="auto"/>
                <w:kern w:val="2"/>
                <w:sz w:val="21"/>
                <w:szCs w:val="21"/>
                <w:highlight w:val="none"/>
              </w:rPr>
              <w:t>+12A+6</w:t>
            </w:r>
            <w:r>
              <w:rPr>
                <w:rFonts w:hint="eastAsia" w:ascii="Times New Roman" w:hAnsi="Times New Roman" w:eastAsia="宋体" w:cs="Times New Roman"/>
                <w:color w:val="auto"/>
                <w:kern w:val="2"/>
                <w:sz w:val="21"/>
                <w:szCs w:val="21"/>
                <w:highlight w:val="none"/>
                <w:lang w:val="en-US" w:eastAsia="zh-CN"/>
              </w:rPr>
              <w:t>双白钢化中空玻璃</w:t>
            </w:r>
            <w:r>
              <w:rPr>
                <w:rFonts w:hint="eastAsia" w:ascii="Times New Roman" w:hAnsi="Times New Roman" w:eastAsia="宋体" w:cs="Times New Roman"/>
                <w:color w:val="auto"/>
                <w:kern w:val="2"/>
                <w:sz w:val="21"/>
                <w:szCs w:val="21"/>
                <w:highlight w:val="none"/>
              </w:rPr>
              <w:t>），信息价组成：</w:t>
            </w:r>
            <w:r>
              <w:rPr>
                <w:rFonts w:hint="eastAsia" w:ascii="Times New Roman" w:hAnsi="Times New Roman" w:eastAsia="宋体" w:cs="Times New Roman"/>
                <w:color w:val="auto"/>
                <w:kern w:val="2"/>
                <w:sz w:val="21"/>
                <w:szCs w:val="21"/>
                <w:highlight w:val="none"/>
                <w:lang w:val="en-US" w:eastAsia="zh-CN"/>
              </w:rPr>
              <w:t>654-172+275</w:t>
            </w:r>
            <w:r>
              <w:rPr>
                <w:rFonts w:hint="eastAsia" w:ascii="Times New Roman" w:hAnsi="Times New Roman" w:eastAsia="宋体" w:cs="Times New Roman"/>
                <w:color w:val="auto"/>
                <w:kern w:val="2"/>
                <w:sz w:val="21"/>
                <w:szCs w:val="21"/>
                <w:highlight w:val="none"/>
              </w:rPr>
              <w:t>=</w:t>
            </w:r>
            <w:r>
              <w:rPr>
                <w:rFonts w:hint="eastAsia" w:ascii="Times New Roman" w:hAnsi="Times New Roman" w:eastAsia="宋体" w:cs="Times New Roman"/>
                <w:color w:val="auto"/>
                <w:kern w:val="2"/>
                <w:sz w:val="21"/>
                <w:szCs w:val="21"/>
                <w:highlight w:val="none"/>
                <w:lang w:val="en-US" w:eastAsia="zh-CN"/>
              </w:rPr>
              <w:t>757</w:t>
            </w:r>
            <w:r>
              <w:rPr>
                <w:rFonts w:hint="eastAsia" w:ascii="Times New Roman" w:hAnsi="Times New Roman" w:eastAsia="宋体" w:cs="Times New Roman"/>
                <w:color w:val="auto"/>
                <w:kern w:val="2"/>
                <w:sz w:val="21"/>
                <w:szCs w:val="21"/>
                <w:highlight w:val="none"/>
              </w:rPr>
              <w:t>元/m2；</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施工图纸上注明</w:t>
            </w:r>
            <w:r>
              <w:rPr>
                <w:rFonts w:hint="eastAsia" w:ascii="宋体" w:hAnsi="宋体" w:eastAsia="宋体" w:cs="Times New Roman"/>
                <w:color w:val="auto"/>
                <w:kern w:val="2"/>
                <w:sz w:val="21"/>
                <w:szCs w:val="21"/>
                <w:lang w:eastAsia="zh-CN"/>
              </w:rPr>
              <w:t>建设单位</w:t>
            </w:r>
            <w:r>
              <w:rPr>
                <w:rFonts w:hint="eastAsia" w:ascii="宋体" w:hAnsi="宋体" w:eastAsia="宋体" w:cs="Times New Roman"/>
                <w:color w:val="auto"/>
                <w:kern w:val="2"/>
                <w:sz w:val="21"/>
                <w:szCs w:val="21"/>
              </w:rPr>
              <w:t>自理、用户自理、</w:t>
            </w:r>
            <w:r>
              <w:rPr>
                <w:rFonts w:hint="eastAsia" w:ascii="宋体" w:hAnsi="宋体" w:eastAsia="宋体" w:cs="Times New Roman"/>
                <w:color w:val="auto"/>
                <w:kern w:val="2"/>
                <w:sz w:val="21"/>
                <w:szCs w:val="21"/>
                <w:lang w:val="en-US" w:eastAsia="zh-CN"/>
              </w:rPr>
              <w:t>业主待定项目</w:t>
            </w:r>
            <w:r>
              <w:rPr>
                <w:rFonts w:hint="eastAsia" w:ascii="宋体" w:hAnsi="宋体" w:eastAsia="宋体" w:cs="Times New Roman"/>
                <w:color w:val="auto"/>
                <w:kern w:val="2"/>
                <w:sz w:val="21"/>
                <w:szCs w:val="21"/>
              </w:rPr>
              <w:t>不列入（本说明中已明确列入的部分除外）。</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施工图纸结构与建筑有矛盾处</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rPr>
              <w:t>本标底</w:t>
            </w:r>
            <w:r>
              <w:rPr>
                <w:rFonts w:hint="eastAsia" w:ascii="宋体" w:hAnsi="宋体" w:eastAsia="宋体" w:cs="Times New Roman"/>
                <w:color w:val="auto"/>
                <w:kern w:val="2"/>
                <w:sz w:val="21"/>
                <w:szCs w:val="21"/>
                <w:lang w:val="en-US" w:eastAsia="zh-CN"/>
              </w:rPr>
              <w:t>除设计明确回复外，</w:t>
            </w:r>
            <w:r>
              <w:rPr>
                <w:rFonts w:hint="eastAsia" w:ascii="宋体" w:hAnsi="宋体" w:eastAsia="宋体" w:cs="Times New Roman"/>
                <w:color w:val="auto"/>
                <w:kern w:val="2"/>
                <w:sz w:val="21"/>
                <w:szCs w:val="21"/>
              </w:rPr>
              <w:t>以结构为准</w:t>
            </w:r>
            <w:r>
              <w:rPr>
                <w:rFonts w:hint="eastAsia" w:ascii="宋体" w:hAnsi="宋体" w:eastAsia="宋体" w:cs="Times New Roman"/>
                <w:color w:val="auto"/>
                <w:kern w:val="2"/>
                <w:sz w:val="21"/>
                <w:szCs w:val="21"/>
                <w:lang w:eastAsia="zh-CN"/>
              </w:rPr>
              <w:t>。</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rPr>
              <w:t>公变配电房内</w:t>
            </w:r>
            <w:r>
              <w:rPr>
                <w:rFonts w:hint="eastAsia" w:ascii="宋体" w:hAnsi="宋体" w:eastAsia="宋体" w:cs="Times New Roman"/>
                <w:kern w:val="2"/>
                <w:sz w:val="21"/>
                <w:szCs w:val="21"/>
              </w:rPr>
              <w:t>相应的预埋件、设备基础等施工单位需按照电力局要求进行施工</w:t>
            </w:r>
            <w:r>
              <w:rPr>
                <w:rFonts w:hint="eastAsia" w:ascii="宋体" w:hAnsi="宋体" w:eastAsia="宋体" w:cs="Times New Roman"/>
                <w:kern w:val="2"/>
                <w:sz w:val="21"/>
                <w:szCs w:val="21"/>
                <w:lang w:eastAsia="zh-CN"/>
              </w:rPr>
              <w:t>，</w:t>
            </w:r>
            <w:r>
              <w:rPr>
                <w:rFonts w:hint="eastAsia" w:ascii="宋体" w:hAnsi="宋体" w:eastAsia="宋体" w:cs="Times New Roman"/>
                <w:kern w:val="2"/>
                <w:sz w:val="21"/>
                <w:szCs w:val="21"/>
              </w:rPr>
              <w:t>具体按电力局设计施工图结算，费用按招标文件口径结算</w:t>
            </w:r>
            <w:r>
              <w:rPr>
                <w:rFonts w:hint="eastAsia" w:ascii="宋体" w:hAnsi="宋体" w:eastAsia="宋体" w:cs="Times New Roman"/>
                <w:kern w:val="2"/>
                <w:sz w:val="21"/>
                <w:szCs w:val="21"/>
                <w:lang w:eastAsia="zh-CN"/>
              </w:rPr>
              <w:t>。</w:t>
            </w:r>
          </w:p>
          <w:p>
            <w:pPr>
              <w:numPr>
                <w:ilvl w:val="0"/>
                <w:numId w:val="41"/>
              </w:numPr>
              <w:autoSpaceDE/>
              <w:autoSpaceDN/>
              <w:adjustRightInd/>
              <w:spacing w:line="360" w:lineRule="auto"/>
              <w:ind w:left="0" w:leftChars="0" w:firstLine="284" w:firstLineChars="0"/>
              <w:jc w:val="both"/>
              <w:rPr>
                <w:rFonts w:ascii="宋体" w:hAnsi="Times New Roman" w:eastAsia="宋体" w:cs="Times New Roman"/>
                <w:kern w:val="2"/>
                <w:sz w:val="21"/>
                <w:szCs w:val="21"/>
              </w:rPr>
            </w:pPr>
            <w:r>
              <w:rPr>
                <w:rFonts w:hint="eastAsia" w:ascii="宋体" w:hAnsi="宋体" w:eastAsia="宋体" w:cs="Times New Roman"/>
                <w:kern w:val="2"/>
                <w:sz w:val="21"/>
                <w:szCs w:val="21"/>
              </w:rPr>
              <w:t>中标单位实际施工方案、方法与标底描述不一致时，结算时不</w:t>
            </w:r>
            <w:r>
              <w:rPr>
                <w:rFonts w:hint="eastAsia" w:ascii="宋体" w:hAnsi="宋体" w:eastAsia="宋体" w:cs="Times New Roman"/>
                <w:kern w:val="2"/>
                <w:sz w:val="21"/>
                <w:szCs w:val="21"/>
                <w:lang w:val="en-US" w:eastAsia="zh-CN"/>
              </w:rPr>
              <w:t>做</w:t>
            </w:r>
            <w:r>
              <w:rPr>
                <w:rFonts w:hint="eastAsia" w:ascii="宋体" w:hAnsi="宋体" w:eastAsia="宋体" w:cs="Times New Roman"/>
                <w:kern w:val="2"/>
                <w:sz w:val="21"/>
                <w:szCs w:val="21"/>
              </w:rPr>
              <w:t>调整。</w:t>
            </w:r>
          </w:p>
          <w:p>
            <w:pPr>
              <w:numPr>
                <w:ilvl w:val="0"/>
                <w:numId w:val="41"/>
              </w:numPr>
              <w:autoSpaceDE/>
              <w:autoSpaceDN/>
              <w:adjustRightInd/>
              <w:spacing w:line="360" w:lineRule="auto"/>
              <w:ind w:left="0" w:leftChars="0" w:firstLine="284" w:firstLineChars="0"/>
              <w:jc w:val="both"/>
              <w:rPr>
                <w:rFonts w:hint="eastAsia" w:ascii="宋体" w:hAnsi="Times New Roman" w:eastAsia="宋体" w:cs="Times New Roman"/>
                <w:kern w:val="2"/>
                <w:sz w:val="21"/>
                <w:szCs w:val="21"/>
              </w:rPr>
            </w:pPr>
            <w:r>
              <w:rPr>
                <w:rFonts w:hint="eastAsia" w:ascii="宋体" w:hAnsi="宋体" w:eastAsia="宋体" w:cs="Times New Roman"/>
                <w:kern w:val="2"/>
                <w:sz w:val="21"/>
                <w:szCs w:val="21"/>
              </w:rPr>
              <w:t>本标底中的技术措施项目是按常规列项的，如果实际施工中增加的其它技术措施费用、改变施工方法增加的费用等，结算时不增加费用。</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施工阶段水电费用由中标单位自行支付至竣工验收交房及办理移交手续结束为止。</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定价材料表中的材料在实际施工时施工方需提供样品、其色泽、规格、品牌、型号等需经</w:t>
            </w:r>
            <w:r>
              <w:rPr>
                <w:rFonts w:hint="eastAsia" w:ascii="宋体" w:hAnsi="宋体" w:eastAsia="宋体" w:cs="Times New Roman"/>
                <w:kern w:val="2"/>
                <w:sz w:val="21"/>
                <w:szCs w:val="21"/>
                <w:lang w:eastAsia="zh-CN"/>
              </w:rPr>
              <w:t>建设单位</w:t>
            </w:r>
            <w:r>
              <w:rPr>
                <w:rFonts w:hint="eastAsia" w:ascii="宋体" w:hAnsi="宋体" w:eastAsia="宋体" w:cs="Times New Roman"/>
                <w:kern w:val="2"/>
                <w:sz w:val="21"/>
                <w:szCs w:val="21"/>
              </w:rPr>
              <w:t>和监理方共同看样定货后认可后方可施工。</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投标单位在投标报价时综合考虑消防部门要求的防火材料及防火设施、消防电器等防火技术检测的相关检验试验费，结算时不增加此费用，室内环境污染检测费亦不增加，请投标单位报价时综合考虑，结算时不再另行单独计算该项目费用。</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场地移交中标单位后临时围墙开裂、倒塌，由中标单位无条件修复，临变设施由中标单位管理，如有破损、失窃等引起的一切后果由中标单位负责赔偿。</w:t>
            </w:r>
          </w:p>
          <w:p>
            <w:pPr>
              <w:numPr>
                <w:ilvl w:val="0"/>
                <w:numId w:val="41"/>
              </w:numPr>
              <w:autoSpaceDE/>
              <w:autoSpaceDN/>
              <w:adjustRightInd/>
              <w:spacing w:line="360" w:lineRule="auto"/>
              <w:ind w:left="0" w:leftChars="0" w:firstLine="284" w:firstLineChars="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大体积混凝土浇筑产生的温度控制费用、大体积防水混凝土浇筑时的措施费均由投标单位报价时综合考虑，不再另行单独计算该项费用，结算时亦不</w:t>
            </w:r>
            <w:r>
              <w:rPr>
                <w:rFonts w:hint="eastAsia" w:ascii="宋体" w:hAnsi="宋体" w:eastAsia="宋体" w:cs="Times New Roman"/>
                <w:kern w:val="2"/>
                <w:sz w:val="21"/>
                <w:szCs w:val="21"/>
                <w:lang w:val="en-US" w:eastAsia="zh-CN"/>
              </w:rPr>
              <w:t>做</w:t>
            </w:r>
            <w:r>
              <w:rPr>
                <w:rFonts w:hint="eastAsia" w:ascii="宋体" w:hAnsi="宋体" w:eastAsia="宋体" w:cs="Times New Roman"/>
                <w:kern w:val="2"/>
                <w:sz w:val="21"/>
                <w:szCs w:val="21"/>
              </w:rPr>
              <w:t>调整。</w:t>
            </w:r>
          </w:p>
          <w:p>
            <w:pPr>
              <w:pStyle w:val="34"/>
              <w:spacing w:line="360" w:lineRule="auto"/>
              <w:ind w:firstLine="207" w:firstLineChars="98"/>
              <w:rPr>
                <w:rFonts w:hint="eastAsia" w:ascii="宋体" w:hAnsi="宋体" w:eastAsia="宋体" w:cs="Times New Roman"/>
                <w:b/>
                <w:szCs w:val="21"/>
              </w:rPr>
            </w:pPr>
            <w:r>
              <w:rPr>
                <w:rFonts w:hint="eastAsia" w:ascii="宋体" w:hAnsi="宋体" w:eastAsia="宋体" w:cs="Times New Roman"/>
                <w:b/>
                <w:szCs w:val="21"/>
              </w:rPr>
              <w:t>B、土建部分</w:t>
            </w:r>
          </w:p>
          <w:p>
            <w:pPr>
              <w:autoSpaceDE/>
              <w:autoSpaceDN/>
              <w:adjustRightInd/>
              <w:spacing w:line="360" w:lineRule="auto"/>
              <w:ind w:firstLine="310" w:firstLineChars="147"/>
              <w:jc w:val="both"/>
              <w:rPr>
                <w:rFonts w:hint="eastAsia" w:ascii="Times New Roman" w:hAnsi="Times New Roman" w:eastAsia="宋体" w:cs="Times New Roman"/>
                <w:b/>
                <w:color w:val="auto"/>
                <w:kern w:val="2"/>
                <w:sz w:val="21"/>
                <w:szCs w:val="21"/>
              </w:rPr>
            </w:pPr>
            <w:r>
              <w:rPr>
                <w:rFonts w:hint="eastAsia" w:ascii="Times New Roman" w:hAnsi="Times New Roman" w:eastAsia="宋体" w:cs="Times New Roman"/>
                <w:b/>
                <w:color w:val="auto"/>
                <w:kern w:val="2"/>
                <w:sz w:val="21"/>
                <w:szCs w:val="21"/>
              </w:rPr>
              <w:t>（</w:t>
            </w:r>
            <w:r>
              <w:rPr>
                <w:rFonts w:hint="eastAsia" w:ascii="Times New Roman" w:hAnsi="Times New Roman" w:eastAsia="宋体" w:cs="Times New Roman"/>
                <w:b/>
                <w:color w:val="auto"/>
                <w:kern w:val="2"/>
                <w:sz w:val="21"/>
                <w:szCs w:val="21"/>
                <w:lang w:val="en-US" w:eastAsia="zh-CN"/>
              </w:rPr>
              <w:t>一</w:t>
            </w:r>
            <w:r>
              <w:rPr>
                <w:rFonts w:hint="eastAsia" w:ascii="Times New Roman" w:hAnsi="Times New Roman" w:eastAsia="宋体" w:cs="Times New Roman"/>
                <w:b/>
                <w:color w:val="auto"/>
                <w:kern w:val="2"/>
                <w:sz w:val="21"/>
                <w:szCs w:val="21"/>
              </w:rPr>
              <w:t>）桩基部分：</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本标底中钻孔桩的有效桩长均按暂定长度考虑：各单体桩长暂按各单体桩长区间平均值计入，大地下室桩长暂按桩长区间平均值计入。结算时桩身按实际施工并经现场</w:t>
            </w:r>
            <w:r>
              <w:rPr>
                <w:rFonts w:hint="eastAsia" w:ascii="宋体" w:hAnsi="宋体" w:eastAsia="宋体" w:cs="Times New Roman"/>
                <w:color w:val="auto"/>
                <w:kern w:val="2"/>
                <w:sz w:val="21"/>
                <w:szCs w:val="21"/>
                <w:lang w:val="en-US" w:eastAsia="zh-CN"/>
              </w:rPr>
              <w:t>建设单位</w:t>
            </w:r>
            <w:r>
              <w:rPr>
                <w:rFonts w:hint="eastAsia" w:ascii="宋体" w:hAnsi="宋体" w:eastAsia="宋体" w:cs="Times New Roman"/>
                <w:color w:val="auto"/>
                <w:kern w:val="2"/>
                <w:sz w:val="21"/>
                <w:szCs w:val="21"/>
              </w:rPr>
              <w:t>代表、监理签证确认的有效桩长（按每米单价）调整，结算单价按中标单价计算。</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highlight w:val="none"/>
                <w:lang w:val="en-US" w:eastAsia="zh-CN"/>
              </w:rPr>
              <w:t>本工程</w:t>
            </w:r>
            <w:r>
              <w:rPr>
                <w:rFonts w:hint="eastAsia" w:ascii="宋体" w:hAnsi="宋体" w:eastAsia="宋体" w:cs="Times New Roman"/>
                <w:color w:val="auto"/>
                <w:kern w:val="2"/>
                <w:sz w:val="21"/>
                <w:szCs w:val="21"/>
                <w:highlight w:val="none"/>
              </w:rPr>
              <w:t>施工场地内无堆土空地，土方需全部外运，</w:t>
            </w:r>
            <w:r>
              <w:rPr>
                <w:rFonts w:hint="eastAsia" w:ascii="宋体" w:hAnsi="宋体" w:eastAsia="宋体" w:cs="Times New Roman"/>
                <w:color w:val="auto"/>
                <w:kern w:val="2"/>
                <w:sz w:val="21"/>
                <w:szCs w:val="21"/>
                <w:highlight w:val="none"/>
                <w:lang w:val="en-US" w:eastAsia="zh-CN"/>
              </w:rPr>
              <w:t>标底</w:t>
            </w:r>
            <w:r>
              <w:rPr>
                <w:rFonts w:hint="eastAsia" w:ascii="宋体" w:hAnsi="宋体" w:eastAsia="宋体" w:cs="Times New Roman"/>
                <w:color w:val="auto"/>
                <w:kern w:val="2"/>
                <w:sz w:val="21"/>
                <w:szCs w:val="21"/>
                <w:highlight w:val="none"/>
              </w:rPr>
              <w:t>运距按3</w:t>
            </w:r>
            <w:r>
              <w:rPr>
                <w:rFonts w:hint="eastAsia" w:ascii="宋体" w:hAnsi="宋体" w:eastAsia="宋体" w:cs="Times New Roman"/>
                <w:color w:val="auto"/>
                <w:kern w:val="2"/>
                <w:sz w:val="21"/>
                <w:szCs w:val="21"/>
                <w:highlight w:val="none"/>
                <w:lang w:val="en-US" w:eastAsia="zh-CN"/>
              </w:rPr>
              <w:t>0</w:t>
            </w:r>
            <w:r>
              <w:rPr>
                <w:rFonts w:hint="eastAsia" w:ascii="宋体" w:hAnsi="宋体" w:eastAsia="宋体" w:cs="Times New Roman"/>
                <w:color w:val="auto"/>
                <w:kern w:val="2"/>
                <w:sz w:val="21"/>
                <w:szCs w:val="21"/>
                <w:highlight w:val="none"/>
              </w:rPr>
              <w:t>km考虑</w:t>
            </w:r>
            <w:r>
              <w:rPr>
                <w:rFonts w:hint="eastAsia" w:ascii="宋体" w:hAnsi="宋体" w:eastAsia="宋体" w:cs="Times New Roman"/>
                <w:color w:val="auto"/>
                <w:kern w:val="2"/>
                <w:sz w:val="21"/>
                <w:szCs w:val="21"/>
                <w:highlight w:val="none"/>
                <w:lang w:val="en-US" w:eastAsia="zh-CN"/>
              </w:rPr>
              <w:t>计入</w:t>
            </w:r>
            <w:r>
              <w:rPr>
                <w:rFonts w:hint="eastAsia" w:ascii="宋体" w:hAnsi="宋体" w:eastAsia="宋体" w:cs="Times New Roman"/>
                <w:color w:val="auto"/>
                <w:kern w:val="2"/>
                <w:sz w:val="21"/>
                <w:szCs w:val="21"/>
                <w:highlight w:val="none"/>
                <w:lang w:eastAsia="zh-CN"/>
              </w:rPr>
              <w:t>；</w:t>
            </w:r>
            <w:r>
              <w:rPr>
                <w:rFonts w:hint="eastAsia" w:ascii="宋体" w:hAnsi="宋体" w:eastAsia="宋体" w:cs="Times New Roman"/>
                <w:color w:val="auto"/>
                <w:kern w:val="2"/>
                <w:sz w:val="21"/>
                <w:szCs w:val="21"/>
                <w:highlight w:val="none"/>
              </w:rPr>
              <w:t>土方外运处置地由投标单位自行寻找，外运距离自行</w:t>
            </w:r>
            <w:r>
              <w:rPr>
                <w:rFonts w:hint="eastAsia" w:ascii="宋体" w:hAnsi="宋体" w:eastAsia="宋体" w:cs="Times New Roman"/>
                <w:color w:val="auto"/>
                <w:kern w:val="2"/>
                <w:sz w:val="21"/>
                <w:szCs w:val="21"/>
                <w:highlight w:val="none"/>
                <w:lang w:val="en-US" w:eastAsia="zh-CN"/>
              </w:rPr>
              <w:t>综合</w:t>
            </w:r>
            <w:r>
              <w:rPr>
                <w:rFonts w:hint="eastAsia" w:ascii="宋体" w:hAnsi="宋体" w:eastAsia="宋体" w:cs="Times New Roman"/>
                <w:color w:val="auto"/>
                <w:kern w:val="2"/>
                <w:sz w:val="21"/>
                <w:szCs w:val="21"/>
                <w:highlight w:val="none"/>
              </w:rPr>
              <w:t>考虑，包括土方装卸、外运、处置、消纳场地等一切费用，投标单位应充分了解项目当地土方运输及渣土处置管理办法和相关市场化土方挖运规则综合报价，结算不</w:t>
            </w:r>
            <w:r>
              <w:rPr>
                <w:rFonts w:hint="eastAsia" w:ascii="宋体" w:hAnsi="宋体" w:eastAsia="宋体" w:cs="Times New Roman"/>
                <w:color w:val="auto"/>
                <w:kern w:val="2"/>
                <w:sz w:val="21"/>
                <w:szCs w:val="21"/>
                <w:highlight w:val="none"/>
                <w:lang w:val="en-US" w:eastAsia="zh-CN"/>
              </w:rPr>
              <w:t>作</w:t>
            </w:r>
            <w:r>
              <w:rPr>
                <w:rFonts w:hint="eastAsia" w:ascii="宋体" w:hAnsi="宋体" w:eastAsia="宋体" w:cs="Times New Roman"/>
                <w:color w:val="auto"/>
                <w:kern w:val="2"/>
                <w:sz w:val="21"/>
                <w:szCs w:val="21"/>
                <w:highlight w:val="none"/>
              </w:rPr>
              <w:t>调整。如今后堆土方案变动（即实际发生场内堆土），结算时</w:t>
            </w:r>
            <w:r>
              <w:rPr>
                <w:rFonts w:hint="eastAsia" w:ascii="宋体" w:hAnsi="宋体" w:eastAsia="宋体" w:cs="Times New Roman"/>
                <w:color w:val="auto"/>
                <w:kern w:val="2"/>
                <w:sz w:val="21"/>
                <w:szCs w:val="21"/>
                <w:highlight w:val="none"/>
                <w:lang w:val="en-US" w:eastAsia="zh-CN"/>
              </w:rPr>
              <w:t>工程量（余土外运）按实结算</w:t>
            </w:r>
            <w:r>
              <w:rPr>
                <w:rFonts w:hint="eastAsia" w:ascii="宋体" w:hAnsi="宋体" w:eastAsia="宋体" w:cs="Times New Roman"/>
                <w:color w:val="auto"/>
                <w:kern w:val="2"/>
                <w:sz w:val="21"/>
                <w:szCs w:val="21"/>
                <w:highlight w:val="none"/>
                <w:lang w:eastAsia="zh-CN"/>
              </w:rPr>
              <w:t>。</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Times New Roman" w:hAnsi="Times New Roman" w:eastAsia="宋体" w:cs="Times New Roman"/>
                <w:color w:val="auto"/>
                <w:kern w:val="2"/>
                <w:sz w:val="21"/>
                <w:lang w:val="en-US" w:eastAsia="zh-CN"/>
              </w:rPr>
              <w:t>根据地质报告勘察已揭露多个溶洞，应积极配合一桩一孔施工勘察，此费用</w:t>
            </w:r>
            <w:r>
              <w:rPr>
                <w:rFonts w:hint="eastAsia" w:ascii="宋体" w:hAnsi="宋体" w:eastAsia="宋体" w:cs="Times New Roman"/>
                <w:color w:val="auto"/>
                <w:kern w:val="2"/>
                <w:sz w:val="21"/>
                <w:szCs w:val="21"/>
              </w:rPr>
              <w:t>不再另行单独</w:t>
            </w:r>
            <w:r>
              <w:rPr>
                <w:rFonts w:hint="eastAsia" w:ascii="宋体" w:hAnsi="宋体" w:eastAsia="宋体" w:cs="Times New Roman"/>
                <w:color w:val="auto"/>
                <w:kern w:val="2"/>
                <w:sz w:val="21"/>
                <w:szCs w:val="21"/>
                <w:lang w:val="en-US" w:eastAsia="zh-CN"/>
              </w:rPr>
              <w:t>计算</w:t>
            </w:r>
            <w:r>
              <w:rPr>
                <w:rFonts w:hint="eastAsia" w:ascii="宋体" w:hAnsi="宋体" w:eastAsia="宋体" w:cs="Times New Roman"/>
                <w:color w:val="auto"/>
                <w:kern w:val="2"/>
                <w:sz w:val="21"/>
                <w:szCs w:val="21"/>
              </w:rPr>
              <w:t>，结算时亦不作调整</w:t>
            </w:r>
            <w:r>
              <w:rPr>
                <w:rFonts w:hint="eastAsia" w:ascii="Times New Roman" w:hAnsi="Times New Roman" w:eastAsia="宋体" w:cs="Times New Roman"/>
                <w:color w:val="auto"/>
                <w:kern w:val="2"/>
                <w:sz w:val="21"/>
                <w:lang w:val="en-US" w:eastAsia="zh-CN"/>
              </w:rPr>
              <w:t>。如实际打桩过程中需回填溶洞，则根据施工方案及现场</w:t>
            </w:r>
            <w:r>
              <w:rPr>
                <w:rFonts w:hint="eastAsia" w:ascii="宋体" w:hAnsi="宋体" w:eastAsia="宋体" w:cs="Times New Roman"/>
                <w:color w:val="auto"/>
                <w:kern w:val="2"/>
                <w:sz w:val="21"/>
                <w:szCs w:val="21"/>
                <w:lang w:val="en-US" w:eastAsia="zh-CN"/>
              </w:rPr>
              <w:t>建设单位</w:t>
            </w:r>
            <w:r>
              <w:rPr>
                <w:rFonts w:hint="eastAsia" w:ascii="Times New Roman" w:hAnsi="Times New Roman" w:eastAsia="宋体" w:cs="Times New Roman"/>
                <w:color w:val="auto"/>
                <w:kern w:val="2"/>
                <w:sz w:val="21"/>
                <w:lang w:val="en-US" w:eastAsia="zh-CN"/>
              </w:rPr>
              <w:t>代表和监理签证确认按实结算。</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本标底中，埋设护筒长度按2m计入，请投标单位自行考虑，结算不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rPr>
              <w:t>调整。</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本工程试桩直接采用工程桩,试桩桩身按图纸设计长度计入（但不包括试桩扩桩桩头），试桩作静荷载用，不再计取试桩费用，出现烂桩时必须由中标单位负责。</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本标底桩基检测费用由</w:t>
            </w:r>
            <w:r>
              <w:rPr>
                <w:rFonts w:hint="eastAsia" w:ascii="宋体" w:hAnsi="宋体" w:eastAsia="宋体" w:cs="Times New Roman"/>
                <w:color w:val="auto"/>
                <w:kern w:val="2"/>
                <w:sz w:val="21"/>
                <w:szCs w:val="21"/>
                <w:lang w:eastAsia="zh-CN"/>
              </w:rPr>
              <w:t>建设单位</w:t>
            </w:r>
            <w:r>
              <w:rPr>
                <w:rFonts w:hint="eastAsia" w:ascii="宋体" w:hAnsi="宋体" w:eastAsia="宋体" w:cs="Times New Roman"/>
                <w:color w:val="auto"/>
                <w:kern w:val="2"/>
                <w:sz w:val="21"/>
                <w:szCs w:val="21"/>
              </w:rPr>
              <w:t>单独支付，本次标底中不计入；工程桩静测所需的配合人、机、材等由施工单位负责提供，钻孔桩静荷载测试桩配套费按综合价</w:t>
            </w:r>
            <w:r>
              <w:rPr>
                <w:rFonts w:hint="eastAsia" w:ascii="宋体" w:hAnsi="宋体" w:eastAsia="宋体" w:cs="Times New Roman"/>
                <w:color w:val="auto"/>
                <w:kern w:val="2"/>
                <w:sz w:val="21"/>
                <w:szCs w:val="21"/>
                <w:lang w:val="en-US" w:eastAsia="zh-CN"/>
              </w:rPr>
              <w:t>3</w:t>
            </w:r>
            <w:r>
              <w:rPr>
                <w:rFonts w:hint="eastAsia" w:ascii="宋体" w:hAnsi="宋体" w:eastAsia="宋体" w:cs="Times New Roman"/>
                <w:color w:val="auto"/>
                <w:kern w:val="2"/>
                <w:sz w:val="21"/>
                <w:szCs w:val="21"/>
              </w:rPr>
              <w:t>000元/根计，结算时不作调整，投标单位报价时综合考虑该因素，标底静测桩数量暂按</w:t>
            </w:r>
            <w:r>
              <w:rPr>
                <w:rFonts w:hint="eastAsia" w:ascii="宋体" w:hAnsi="宋体" w:eastAsia="宋体" w:cs="Times New Roman"/>
                <w:color w:val="auto"/>
                <w:kern w:val="2"/>
                <w:sz w:val="21"/>
                <w:szCs w:val="21"/>
                <w:lang w:val="en-US" w:eastAsia="zh-CN"/>
              </w:rPr>
              <w:t>19</w:t>
            </w:r>
            <w:r>
              <w:rPr>
                <w:rFonts w:hint="eastAsia" w:ascii="宋体" w:hAnsi="宋体" w:eastAsia="宋体" w:cs="Times New Roman"/>
                <w:color w:val="auto"/>
                <w:kern w:val="2"/>
                <w:sz w:val="21"/>
                <w:szCs w:val="21"/>
              </w:rPr>
              <w:t>根考虑，结算时数量根据</w:t>
            </w:r>
            <w:r>
              <w:rPr>
                <w:rFonts w:hint="eastAsia" w:ascii="宋体" w:hAnsi="宋体" w:eastAsia="宋体" w:cs="Times New Roman"/>
                <w:color w:val="auto"/>
                <w:kern w:val="2"/>
                <w:sz w:val="21"/>
                <w:szCs w:val="21"/>
                <w:lang w:val="en-US" w:eastAsia="zh-CN"/>
              </w:rPr>
              <w:t>现场建设单位代表、监理签证确认后</w:t>
            </w:r>
            <w:r>
              <w:rPr>
                <w:rFonts w:hint="eastAsia" w:ascii="宋体" w:hAnsi="宋体" w:eastAsia="宋体" w:cs="Times New Roman"/>
                <w:color w:val="auto"/>
                <w:kern w:val="2"/>
                <w:sz w:val="21"/>
                <w:szCs w:val="21"/>
              </w:rPr>
              <w:t>按实调整。</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本工程钢筋笼定位环不再另行单独</w:t>
            </w:r>
            <w:r>
              <w:rPr>
                <w:rFonts w:hint="eastAsia" w:ascii="宋体" w:hAnsi="宋体" w:eastAsia="宋体" w:cs="Times New Roman"/>
                <w:color w:val="auto"/>
                <w:kern w:val="2"/>
                <w:sz w:val="21"/>
                <w:szCs w:val="21"/>
                <w:lang w:val="en-US" w:eastAsia="zh-CN"/>
              </w:rPr>
              <w:t>计算</w:t>
            </w:r>
            <w:r>
              <w:rPr>
                <w:rFonts w:hint="eastAsia" w:ascii="宋体" w:hAnsi="宋体" w:eastAsia="宋体" w:cs="Times New Roman"/>
                <w:color w:val="auto"/>
                <w:kern w:val="2"/>
                <w:sz w:val="21"/>
                <w:szCs w:val="21"/>
              </w:rPr>
              <w:t>，结算时亦不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rPr>
              <w:t>调整</w:t>
            </w:r>
            <w:r>
              <w:rPr>
                <w:rFonts w:hint="eastAsia" w:ascii="Times New Roman" w:hAnsi="Times New Roman" w:eastAsia="宋体" w:cs="Times New Roman"/>
                <w:color w:val="auto"/>
                <w:kern w:val="2"/>
                <w:sz w:val="21"/>
                <w:lang w:val="en-US" w:eastAsia="zh-CN"/>
              </w:rPr>
              <w:t>。</w:t>
            </w:r>
          </w:p>
          <w:p>
            <w:pPr>
              <w:numPr>
                <w:ilvl w:val="0"/>
                <w:numId w:val="43"/>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本标底按4层（含黏性土角砾）为碎卵石层，5-1层（全风化泥岩）为极软岩，5-2层（强风化泥岩）为极软岩，5-3a层（中等风化泥岩）为软岩，5-3b（中等风化灰岩）为岩石层考虑计入。</w:t>
            </w:r>
          </w:p>
          <w:p>
            <w:pPr>
              <w:autoSpaceDE/>
              <w:autoSpaceDN/>
              <w:adjustRightInd/>
              <w:spacing w:line="360" w:lineRule="auto"/>
              <w:ind w:firstLine="310" w:firstLineChars="147"/>
              <w:jc w:val="both"/>
              <w:rPr>
                <w:rFonts w:hint="eastAsia" w:ascii="Times New Roman" w:hAnsi="Times New Roman" w:eastAsia="宋体" w:cs="Times New Roman"/>
                <w:b/>
                <w:color w:val="auto"/>
                <w:kern w:val="2"/>
                <w:sz w:val="21"/>
                <w:szCs w:val="21"/>
              </w:rPr>
            </w:pPr>
            <w:r>
              <w:rPr>
                <w:rFonts w:hint="eastAsia" w:ascii="Times New Roman" w:hAnsi="Times New Roman" w:eastAsia="宋体" w:cs="Times New Roman"/>
                <w:b/>
                <w:color w:val="auto"/>
                <w:kern w:val="2"/>
                <w:sz w:val="21"/>
                <w:szCs w:val="21"/>
              </w:rPr>
              <w:t>（</w:t>
            </w:r>
            <w:r>
              <w:rPr>
                <w:rFonts w:hint="eastAsia" w:ascii="Times New Roman" w:hAnsi="Times New Roman" w:eastAsia="宋体" w:cs="Times New Roman"/>
                <w:b/>
                <w:color w:val="auto"/>
                <w:kern w:val="2"/>
                <w:sz w:val="21"/>
                <w:szCs w:val="21"/>
                <w:lang w:val="en-US" w:eastAsia="zh-CN"/>
              </w:rPr>
              <w:t>二</w:t>
            </w:r>
            <w:r>
              <w:rPr>
                <w:rFonts w:hint="eastAsia" w:ascii="Times New Roman" w:hAnsi="Times New Roman" w:eastAsia="宋体" w:cs="Times New Roman"/>
                <w:b/>
                <w:color w:val="auto"/>
                <w:kern w:val="2"/>
                <w:sz w:val="21"/>
                <w:szCs w:val="21"/>
              </w:rPr>
              <w:t>）地下室：</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混凝土外加剂不因掺入量不同而调整，请投标单位投标时综合考虑该因素，结算时不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rPr>
              <w:t>调整。</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本工程地方类别详见地质报告，投标单位自行踏勘现场，综合考虑自行报价，结算时不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rPr>
              <w:t>调整。</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车库出入口限高架暂不考虑计入预算。</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本工程地下室洞库照明费已经按标底工程量测算后列入标底项目中，该费用按中标价包干，结算不因设计变更而调整。</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地下室做法为战平考虑，战时不考虑。封堵框、预埋铁件、地下室的车位线、行车线、车档、防撞角、减速档</w:t>
            </w:r>
            <w:r>
              <w:rPr>
                <w:rFonts w:hint="eastAsia" w:ascii="宋体" w:hAnsi="宋体" w:eastAsia="宋体" w:cs="Times New Roman"/>
                <w:color w:val="auto"/>
                <w:kern w:val="2"/>
                <w:sz w:val="21"/>
                <w:szCs w:val="21"/>
                <w:lang w:val="en-US" w:eastAsia="zh-CN"/>
              </w:rPr>
              <w:t>等</w:t>
            </w:r>
            <w:r>
              <w:rPr>
                <w:rFonts w:hint="eastAsia" w:ascii="宋体" w:hAnsi="宋体" w:eastAsia="宋体" w:cs="Times New Roman"/>
                <w:color w:val="auto"/>
                <w:kern w:val="2"/>
                <w:sz w:val="21"/>
                <w:szCs w:val="21"/>
              </w:rPr>
              <w:t>计入标底</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lang w:val="en-US" w:eastAsia="zh-CN"/>
              </w:rPr>
              <w:t>具体详见清单</w:t>
            </w:r>
            <w:r>
              <w:rPr>
                <w:rFonts w:hint="eastAsia" w:ascii="宋体" w:hAnsi="宋体" w:eastAsia="宋体" w:cs="Times New Roman"/>
                <w:color w:val="auto"/>
                <w:kern w:val="2"/>
                <w:sz w:val="21"/>
                <w:szCs w:val="21"/>
              </w:rPr>
              <w:t>。</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自行车棚编号牌暂按铝板，规格6cm*15cm计入。</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rPr>
              <w:t>自行车坡道做法按地下室建筑图做法表计入。</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本</w:t>
            </w:r>
            <w:r>
              <w:rPr>
                <w:rFonts w:hint="eastAsia" w:ascii="宋体" w:hAnsi="宋体" w:eastAsia="宋体" w:cs="Times New Roman"/>
                <w:color w:val="auto"/>
                <w:kern w:val="2"/>
                <w:sz w:val="21"/>
                <w:szCs w:val="21"/>
                <w:highlight w:val="none"/>
                <w:lang w:val="en-US" w:eastAsia="zh-CN"/>
              </w:rPr>
              <w:t>标底</w:t>
            </w:r>
            <w:r>
              <w:rPr>
                <w:rFonts w:hint="eastAsia" w:ascii="Times New Roman" w:hAnsi="Times New Roman" w:eastAsia="宋体" w:cs="Times New Roman"/>
                <w:color w:val="auto"/>
                <w:kern w:val="2"/>
                <w:sz w:val="21"/>
                <w:highlight w:val="none"/>
                <w:lang w:val="en-US" w:eastAsia="zh-CN"/>
              </w:rPr>
              <w:t>地下室部分</w:t>
            </w:r>
            <w:r>
              <w:rPr>
                <w:rFonts w:hint="eastAsia" w:ascii="宋体" w:hAnsi="宋体" w:eastAsia="宋体" w:cs="Times New Roman"/>
                <w:color w:val="auto"/>
                <w:kern w:val="2"/>
                <w:sz w:val="21"/>
                <w:szCs w:val="21"/>
                <w:highlight w:val="none"/>
              </w:rPr>
              <w:t>已按承插型盘扣式工具支撑架及模板补充定额计入，模板及一般支撑架未计价材料一次使用时间按40天计入，请投标单位在报价时自行考虑专项方案及持续天数、搭设规格及材质，结算时持续天数、搭设规格、材质及综合单价均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highlight w:val="none"/>
              </w:rPr>
              <w:t>调整。</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本</w:t>
            </w:r>
            <w:r>
              <w:rPr>
                <w:rFonts w:hint="eastAsia" w:ascii="宋体" w:hAnsi="宋体" w:eastAsia="宋体" w:cs="Times New Roman"/>
                <w:color w:val="auto"/>
                <w:kern w:val="2"/>
                <w:sz w:val="21"/>
                <w:szCs w:val="21"/>
                <w:highlight w:val="none"/>
                <w:lang w:val="en-US" w:eastAsia="zh-CN"/>
              </w:rPr>
              <w:t>标底价</w:t>
            </w:r>
            <w:r>
              <w:rPr>
                <w:rFonts w:hint="eastAsia" w:ascii="宋体" w:hAnsi="宋体" w:eastAsia="宋体" w:cs="Times New Roman"/>
                <w:color w:val="auto"/>
                <w:kern w:val="2"/>
                <w:sz w:val="21"/>
                <w:szCs w:val="21"/>
                <w:highlight w:val="none"/>
              </w:rPr>
              <w:t>中防水附加层在清单工程量中不计取，但已根据规范及设计要求考虑在综合单价内，请投标单位在报价中综合考虑，结算不调整综合单价。</w:t>
            </w:r>
          </w:p>
          <w:p>
            <w:pPr>
              <w:numPr>
                <w:ilvl w:val="0"/>
                <w:numId w:val="44"/>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rPr>
              <w:t>地下室外墙、水池墙止水螺杆已按定额口径计算费用，今后无论止水螺杆使用规格、设置间距如何变化，该费用不做调整，投标单位报价时综合考虑。</w:t>
            </w:r>
          </w:p>
          <w:p>
            <w:pPr>
              <w:autoSpaceDE/>
              <w:autoSpaceDN/>
              <w:adjustRightInd/>
              <w:spacing w:line="360" w:lineRule="auto"/>
              <w:ind w:firstLine="310" w:firstLineChars="147"/>
              <w:jc w:val="both"/>
              <w:rPr>
                <w:rFonts w:hint="eastAsia" w:ascii="Times New Roman" w:hAnsi="Times New Roman" w:eastAsia="宋体" w:cs="Times New Roman"/>
                <w:b/>
                <w:color w:val="auto"/>
                <w:kern w:val="2"/>
                <w:sz w:val="21"/>
                <w:szCs w:val="21"/>
                <w:highlight w:val="none"/>
              </w:rPr>
            </w:pPr>
            <w:r>
              <w:rPr>
                <w:rFonts w:hint="eastAsia" w:ascii="Times New Roman" w:hAnsi="Times New Roman" w:eastAsia="宋体" w:cs="Times New Roman"/>
                <w:b/>
                <w:color w:val="auto"/>
                <w:kern w:val="2"/>
                <w:sz w:val="21"/>
                <w:szCs w:val="21"/>
                <w:highlight w:val="none"/>
              </w:rPr>
              <w:t>（</w:t>
            </w:r>
            <w:r>
              <w:rPr>
                <w:rFonts w:hint="eastAsia" w:ascii="Times New Roman" w:hAnsi="Times New Roman" w:eastAsia="宋体" w:cs="Times New Roman"/>
                <w:b/>
                <w:color w:val="auto"/>
                <w:kern w:val="2"/>
                <w:sz w:val="21"/>
                <w:szCs w:val="21"/>
                <w:highlight w:val="none"/>
                <w:lang w:val="en-US" w:eastAsia="zh-CN"/>
              </w:rPr>
              <w:t>三</w:t>
            </w:r>
            <w:r>
              <w:rPr>
                <w:rFonts w:hint="eastAsia" w:ascii="Times New Roman" w:hAnsi="Times New Roman" w:eastAsia="宋体" w:cs="Times New Roman"/>
                <w:b/>
                <w:color w:val="auto"/>
                <w:kern w:val="2"/>
                <w:sz w:val="21"/>
                <w:szCs w:val="21"/>
                <w:highlight w:val="none"/>
              </w:rPr>
              <w:t>）地下室基坑围护：</w:t>
            </w:r>
          </w:p>
          <w:p>
            <w:pPr>
              <w:numPr>
                <w:ilvl w:val="0"/>
                <w:numId w:val="45"/>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基坑边位移监测孔，基坑周边水位观测孔等由</w:t>
            </w:r>
            <w:r>
              <w:rPr>
                <w:rFonts w:hint="eastAsia" w:ascii="宋体" w:hAnsi="宋体" w:eastAsia="宋体" w:cs="Times New Roman"/>
                <w:color w:val="auto"/>
                <w:kern w:val="2"/>
                <w:sz w:val="21"/>
                <w:szCs w:val="21"/>
                <w:lang w:eastAsia="zh-CN"/>
              </w:rPr>
              <w:t>建设单位</w:t>
            </w:r>
            <w:r>
              <w:rPr>
                <w:rFonts w:hint="eastAsia" w:ascii="宋体" w:hAnsi="宋体" w:eastAsia="宋体" w:cs="Times New Roman"/>
                <w:color w:val="auto"/>
                <w:kern w:val="2"/>
                <w:sz w:val="21"/>
                <w:szCs w:val="21"/>
              </w:rPr>
              <w:t>自理，本标底不列入。</w:t>
            </w:r>
          </w:p>
          <w:p>
            <w:pPr>
              <w:numPr>
                <w:ilvl w:val="0"/>
                <w:numId w:val="45"/>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排水沟过道路处或运土车辆经过处覆盖钢板保护，该项内容不另单独计取费用，投标单位报价时综合考虑，结算时不</w:t>
            </w:r>
            <w:r>
              <w:rPr>
                <w:rFonts w:hint="eastAsia" w:ascii="宋体" w:hAnsi="宋体" w:eastAsia="宋体" w:cs="Times New Roman"/>
                <w:color w:val="auto"/>
                <w:kern w:val="2"/>
                <w:sz w:val="21"/>
                <w:szCs w:val="21"/>
                <w:lang w:val="en-US" w:eastAsia="zh-CN"/>
              </w:rPr>
              <w:t>做</w:t>
            </w:r>
            <w:r>
              <w:rPr>
                <w:rFonts w:hint="eastAsia" w:ascii="宋体" w:hAnsi="宋体" w:eastAsia="宋体" w:cs="Times New Roman"/>
                <w:color w:val="auto"/>
                <w:kern w:val="2"/>
                <w:sz w:val="21"/>
                <w:szCs w:val="21"/>
              </w:rPr>
              <w:t>调整。</w:t>
            </w:r>
          </w:p>
          <w:p>
            <w:pPr>
              <w:numPr>
                <w:ilvl w:val="0"/>
                <w:numId w:val="45"/>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w:t>
            </w:r>
            <w:r>
              <w:rPr>
                <w:rFonts w:hint="eastAsia" w:ascii="宋体" w:hAnsi="宋体" w:eastAsia="宋体" w:cs="Times New Roman"/>
                <w:color w:val="auto"/>
                <w:kern w:val="2"/>
                <w:sz w:val="21"/>
                <w:szCs w:val="21"/>
                <w:lang w:val="en-US" w:eastAsia="zh-CN"/>
              </w:rPr>
              <w:t>标底</w:t>
            </w:r>
            <w:r>
              <w:rPr>
                <w:rFonts w:hint="eastAsia" w:ascii="宋体" w:hAnsi="宋体" w:eastAsia="宋体" w:cs="Times New Roman"/>
                <w:color w:val="auto"/>
                <w:kern w:val="2"/>
                <w:sz w:val="21"/>
                <w:szCs w:val="21"/>
              </w:rPr>
              <w:t>基坑围护中IV拉森钢板桩租赁时间按4个月计入，如实际租赁天数多于</w:t>
            </w:r>
            <w:r>
              <w:rPr>
                <w:rFonts w:hint="eastAsia" w:ascii="宋体" w:hAnsi="宋体" w:eastAsia="宋体" w:cs="Times New Roman"/>
                <w:color w:val="auto"/>
                <w:kern w:val="2"/>
                <w:sz w:val="21"/>
                <w:szCs w:val="21"/>
                <w:lang w:val="en-US" w:eastAsia="zh-CN"/>
              </w:rPr>
              <w:t>标底</w:t>
            </w:r>
            <w:r>
              <w:rPr>
                <w:rFonts w:hint="eastAsia" w:ascii="宋体" w:hAnsi="宋体" w:eastAsia="宋体" w:cs="Times New Roman"/>
                <w:color w:val="auto"/>
                <w:kern w:val="2"/>
                <w:sz w:val="21"/>
                <w:szCs w:val="21"/>
              </w:rPr>
              <w:t>价天数，结算时不作调整；少于</w:t>
            </w:r>
            <w:r>
              <w:rPr>
                <w:rFonts w:hint="eastAsia" w:ascii="宋体" w:hAnsi="宋体" w:eastAsia="宋体" w:cs="Times New Roman"/>
                <w:color w:val="auto"/>
                <w:kern w:val="2"/>
                <w:sz w:val="21"/>
                <w:szCs w:val="21"/>
                <w:lang w:val="en-US" w:eastAsia="zh-CN"/>
              </w:rPr>
              <w:t>标底价</w:t>
            </w:r>
            <w:r>
              <w:rPr>
                <w:rFonts w:hint="eastAsia" w:ascii="宋体" w:hAnsi="宋体" w:eastAsia="宋体" w:cs="Times New Roman"/>
                <w:color w:val="auto"/>
                <w:kern w:val="2"/>
                <w:sz w:val="21"/>
                <w:szCs w:val="21"/>
              </w:rPr>
              <w:t>天数，</w:t>
            </w:r>
            <w:r>
              <w:rPr>
                <w:rFonts w:hint="eastAsia" w:ascii="宋体" w:hAnsi="宋体" w:eastAsia="宋体" w:cs="Times New Roman"/>
                <w:color w:val="auto"/>
                <w:kern w:val="2"/>
                <w:sz w:val="21"/>
                <w:szCs w:val="21"/>
                <w:lang w:val="en-US" w:eastAsia="zh-CN"/>
              </w:rPr>
              <w:t>结算现场建设单位代表、监理签证确认</w:t>
            </w:r>
            <w:r>
              <w:rPr>
                <w:rFonts w:hint="eastAsia" w:ascii="宋体" w:hAnsi="宋体" w:eastAsia="宋体" w:cs="Times New Roman"/>
                <w:color w:val="auto"/>
                <w:kern w:val="2"/>
                <w:sz w:val="21"/>
                <w:szCs w:val="21"/>
              </w:rPr>
              <w:t>后按实调整。</w:t>
            </w:r>
          </w:p>
          <w:p>
            <w:pPr>
              <w:numPr>
                <w:ilvl w:val="0"/>
                <w:numId w:val="45"/>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w:t>
            </w:r>
            <w:r>
              <w:rPr>
                <w:rFonts w:hint="eastAsia" w:ascii="宋体" w:hAnsi="宋体" w:eastAsia="宋体" w:cs="Times New Roman"/>
                <w:color w:val="auto"/>
                <w:kern w:val="2"/>
                <w:sz w:val="21"/>
                <w:szCs w:val="21"/>
                <w:lang w:val="en-US" w:eastAsia="zh-CN"/>
              </w:rPr>
              <w:t>标底</w:t>
            </w:r>
            <w:r>
              <w:rPr>
                <w:rFonts w:hint="eastAsia" w:ascii="宋体" w:hAnsi="宋体" w:eastAsia="宋体" w:cs="Times New Roman"/>
                <w:color w:val="auto"/>
                <w:kern w:val="2"/>
                <w:sz w:val="21"/>
                <w:szCs w:val="21"/>
              </w:rPr>
              <w:t>坑内深井降水</w:t>
            </w:r>
            <w:r>
              <w:rPr>
                <w:rFonts w:hint="eastAsia" w:ascii="宋体" w:hAnsi="宋体" w:eastAsia="宋体" w:cs="Times New Roman"/>
                <w:color w:val="auto"/>
                <w:kern w:val="2"/>
                <w:sz w:val="21"/>
                <w:szCs w:val="21"/>
                <w:lang w:val="en-US" w:eastAsia="zh-CN"/>
              </w:rPr>
              <w:t>33</w:t>
            </w:r>
            <w:r>
              <w:rPr>
                <w:rFonts w:hint="eastAsia" w:ascii="宋体" w:hAnsi="宋体" w:eastAsia="宋体" w:cs="Times New Roman"/>
                <w:color w:val="auto"/>
                <w:kern w:val="2"/>
                <w:sz w:val="21"/>
                <w:szCs w:val="21"/>
              </w:rPr>
              <w:t>座按使用时间120天计入，坑内深井降水</w:t>
            </w:r>
            <w:r>
              <w:rPr>
                <w:rFonts w:hint="eastAsia" w:ascii="宋体" w:hAnsi="宋体" w:eastAsia="宋体" w:cs="Times New Roman"/>
                <w:color w:val="auto"/>
                <w:kern w:val="2"/>
                <w:sz w:val="21"/>
                <w:szCs w:val="21"/>
                <w:lang w:val="en-US" w:eastAsia="zh-CN"/>
              </w:rPr>
              <w:t>17</w:t>
            </w:r>
            <w:r>
              <w:rPr>
                <w:rFonts w:hint="eastAsia" w:ascii="宋体" w:hAnsi="宋体" w:eastAsia="宋体" w:cs="Times New Roman"/>
                <w:color w:val="auto"/>
                <w:kern w:val="2"/>
                <w:sz w:val="21"/>
                <w:szCs w:val="21"/>
              </w:rPr>
              <w:t>座按使用时间180天计入，坑外深井降水</w:t>
            </w:r>
            <w:r>
              <w:rPr>
                <w:rFonts w:hint="eastAsia" w:ascii="宋体" w:hAnsi="宋体" w:eastAsia="宋体" w:cs="Times New Roman"/>
                <w:color w:val="auto"/>
                <w:kern w:val="2"/>
                <w:sz w:val="21"/>
                <w:szCs w:val="21"/>
                <w:lang w:val="en-US" w:eastAsia="zh-CN"/>
              </w:rPr>
              <w:t>34</w:t>
            </w:r>
            <w:r>
              <w:rPr>
                <w:rFonts w:hint="eastAsia" w:ascii="宋体" w:hAnsi="宋体" w:eastAsia="宋体" w:cs="Times New Roman"/>
                <w:color w:val="auto"/>
                <w:kern w:val="2"/>
                <w:sz w:val="21"/>
                <w:szCs w:val="21"/>
              </w:rPr>
              <w:t>座按使用时间180天计入。如实际使用天数多于</w:t>
            </w:r>
            <w:r>
              <w:rPr>
                <w:rFonts w:hint="eastAsia" w:ascii="宋体" w:hAnsi="宋体" w:eastAsia="宋体" w:cs="Times New Roman"/>
                <w:color w:val="auto"/>
                <w:kern w:val="2"/>
                <w:sz w:val="21"/>
                <w:szCs w:val="21"/>
                <w:lang w:val="en-US" w:eastAsia="zh-CN"/>
              </w:rPr>
              <w:t>标底价</w:t>
            </w:r>
            <w:r>
              <w:rPr>
                <w:rFonts w:hint="eastAsia" w:ascii="宋体" w:hAnsi="宋体" w:eastAsia="宋体" w:cs="Times New Roman"/>
                <w:color w:val="auto"/>
                <w:kern w:val="2"/>
                <w:sz w:val="21"/>
                <w:szCs w:val="21"/>
              </w:rPr>
              <w:t>天数，结算时不作调整；少于</w:t>
            </w:r>
            <w:r>
              <w:rPr>
                <w:rFonts w:hint="eastAsia" w:ascii="宋体" w:hAnsi="宋体" w:eastAsia="宋体" w:cs="Times New Roman"/>
                <w:color w:val="auto"/>
                <w:kern w:val="2"/>
                <w:sz w:val="21"/>
                <w:szCs w:val="21"/>
                <w:lang w:val="en-US" w:eastAsia="zh-CN"/>
              </w:rPr>
              <w:t>标底价</w:t>
            </w:r>
            <w:r>
              <w:rPr>
                <w:rFonts w:hint="eastAsia" w:ascii="宋体" w:hAnsi="宋体" w:eastAsia="宋体" w:cs="Times New Roman"/>
                <w:color w:val="auto"/>
                <w:kern w:val="2"/>
                <w:sz w:val="21"/>
                <w:szCs w:val="21"/>
              </w:rPr>
              <w:t>天数，经</w:t>
            </w:r>
            <w:r>
              <w:rPr>
                <w:rFonts w:hint="eastAsia" w:ascii="宋体" w:hAnsi="宋体" w:eastAsia="宋体" w:cs="Times New Roman"/>
                <w:color w:val="auto"/>
                <w:kern w:val="2"/>
                <w:sz w:val="21"/>
                <w:szCs w:val="21"/>
                <w:lang w:val="en-US" w:eastAsia="zh-CN"/>
              </w:rPr>
              <w:t>现场建设单位代表、监理签证确认</w:t>
            </w:r>
            <w:r>
              <w:rPr>
                <w:rFonts w:hint="eastAsia" w:ascii="宋体" w:hAnsi="宋体" w:eastAsia="宋体" w:cs="Times New Roman"/>
                <w:color w:val="auto"/>
                <w:kern w:val="2"/>
                <w:sz w:val="21"/>
                <w:szCs w:val="21"/>
              </w:rPr>
              <w:t>后结算按实调整；如实际使用深井降水数量多于</w:t>
            </w:r>
            <w:r>
              <w:rPr>
                <w:rFonts w:hint="eastAsia" w:ascii="宋体" w:hAnsi="宋体" w:eastAsia="宋体" w:cs="Times New Roman"/>
                <w:color w:val="auto"/>
                <w:kern w:val="2"/>
                <w:sz w:val="21"/>
                <w:szCs w:val="21"/>
                <w:lang w:val="en-US" w:eastAsia="zh-CN"/>
              </w:rPr>
              <w:t>标底价</w:t>
            </w:r>
            <w:r>
              <w:rPr>
                <w:rFonts w:hint="eastAsia" w:ascii="宋体" w:hAnsi="宋体" w:eastAsia="宋体" w:cs="Times New Roman"/>
                <w:color w:val="auto"/>
                <w:kern w:val="2"/>
                <w:sz w:val="21"/>
                <w:szCs w:val="21"/>
              </w:rPr>
              <w:t>深井降水数量，结算时不作调整；少于</w:t>
            </w:r>
            <w:r>
              <w:rPr>
                <w:rFonts w:hint="eastAsia" w:ascii="宋体" w:hAnsi="宋体" w:eastAsia="宋体" w:cs="Times New Roman"/>
                <w:color w:val="auto"/>
                <w:kern w:val="2"/>
                <w:sz w:val="21"/>
                <w:szCs w:val="21"/>
                <w:lang w:val="en-US" w:eastAsia="zh-CN"/>
              </w:rPr>
              <w:t>标底价</w:t>
            </w:r>
            <w:r>
              <w:rPr>
                <w:rFonts w:hint="eastAsia" w:ascii="宋体" w:hAnsi="宋体" w:eastAsia="宋体" w:cs="Times New Roman"/>
                <w:color w:val="auto"/>
                <w:kern w:val="2"/>
                <w:sz w:val="21"/>
                <w:szCs w:val="21"/>
              </w:rPr>
              <w:t>深井降水数量，经</w:t>
            </w:r>
            <w:r>
              <w:rPr>
                <w:rFonts w:hint="eastAsia" w:ascii="宋体" w:hAnsi="宋体" w:eastAsia="宋体" w:cs="Times New Roman"/>
                <w:color w:val="auto"/>
                <w:kern w:val="2"/>
                <w:sz w:val="21"/>
                <w:szCs w:val="21"/>
                <w:lang w:val="en-US" w:eastAsia="zh-CN"/>
              </w:rPr>
              <w:t>现场建设单位代表、监理签证确认</w:t>
            </w:r>
            <w:r>
              <w:rPr>
                <w:rFonts w:hint="eastAsia" w:ascii="宋体" w:hAnsi="宋体" w:eastAsia="宋体" w:cs="Times New Roman"/>
                <w:color w:val="auto"/>
                <w:kern w:val="2"/>
                <w:sz w:val="21"/>
                <w:szCs w:val="21"/>
              </w:rPr>
              <w:t>后结算按实调整</w:t>
            </w:r>
            <w:r>
              <w:rPr>
                <w:rFonts w:hint="eastAsia" w:ascii="宋体" w:hAnsi="宋体" w:eastAsia="宋体" w:cs="Times New Roman"/>
                <w:color w:val="auto"/>
                <w:kern w:val="2"/>
                <w:sz w:val="21"/>
                <w:szCs w:val="21"/>
                <w:lang w:eastAsia="zh-CN"/>
              </w:rPr>
              <w:t>。</w:t>
            </w:r>
          </w:p>
          <w:p>
            <w:pPr>
              <w:numPr>
                <w:ilvl w:val="0"/>
                <w:numId w:val="45"/>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w:t>
            </w:r>
            <w:r>
              <w:rPr>
                <w:rFonts w:hint="eastAsia" w:ascii="宋体" w:hAnsi="宋体" w:eastAsia="宋体" w:cs="Times New Roman"/>
                <w:color w:val="auto"/>
                <w:kern w:val="2"/>
                <w:sz w:val="21"/>
                <w:szCs w:val="21"/>
                <w:lang w:val="en-US" w:eastAsia="zh-CN"/>
              </w:rPr>
              <w:t>标底</w:t>
            </w:r>
            <w:r>
              <w:rPr>
                <w:rFonts w:hint="eastAsia" w:ascii="宋体" w:hAnsi="宋体" w:eastAsia="宋体" w:cs="Times New Roman"/>
                <w:color w:val="auto"/>
                <w:kern w:val="2"/>
                <w:sz w:val="21"/>
                <w:szCs w:val="21"/>
              </w:rPr>
              <w:t>坑内直流井穿底板及顶板封闭施工按综合价1500元/座计入本</w:t>
            </w:r>
            <w:r>
              <w:rPr>
                <w:rFonts w:hint="eastAsia" w:ascii="宋体" w:hAnsi="宋体" w:eastAsia="宋体" w:cs="Times New Roman"/>
                <w:color w:val="auto"/>
                <w:kern w:val="2"/>
                <w:sz w:val="21"/>
                <w:szCs w:val="21"/>
                <w:lang w:val="en-US" w:eastAsia="zh-CN"/>
              </w:rPr>
              <w:t>标底</w:t>
            </w:r>
            <w:r>
              <w:rPr>
                <w:rFonts w:hint="eastAsia" w:ascii="宋体" w:hAnsi="宋体" w:eastAsia="宋体" w:cs="Times New Roman"/>
                <w:color w:val="auto"/>
                <w:kern w:val="2"/>
                <w:sz w:val="21"/>
                <w:szCs w:val="21"/>
              </w:rPr>
              <w:t>价，此综合价包括穿底板及顶板封闭施工的一切费用，投标单位在报价时应综合考虑该费用。</w:t>
            </w:r>
            <w:r>
              <w:rPr>
                <w:rFonts w:hint="eastAsia" w:ascii="宋体" w:hAnsi="宋体" w:eastAsia="宋体" w:cs="Times New Roman"/>
                <w:color w:val="auto"/>
                <w:kern w:val="2"/>
                <w:sz w:val="21"/>
                <w:szCs w:val="21"/>
                <w:lang w:val="en-US" w:eastAsia="zh-CN"/>
              </w:rPr>
              <w:t>如实际未发生，则结算时不予计算。</w:t>
            </w:r>
          </w:p>
          <w:p>
            <w:pPr>
              <w:numPr>
                <w:ilvl w:val="0"/>
                <w:numId w:val="45"/>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rPr>
              <w:t>如实际需设置</w:t>
            </w:r>
            <w:r>
              <w:rPr>
                <w:rFonts w:hint="eastAsia" w:ascii="宋体" w:hAnsi="宋体" w:eastAsia="宋体" w:cs="Times New Roman"/>
                <w:color w:val="auto"/>
                <w:kern w:val="2"/>
                <w:sz w:val="21"/>
                <w:szCs w:val="21"/>
              </w:rPr>
              <w:t>应力释放孔，此费用由投标单位投标报价时综合考虑，结算时不另增加费用。</w:t>
            </w:r>
          </w:p>
          <w:p>
            <w:pPr>
              <w:autoSpaceDE/>
              <w:autoSpaceDN/>
              <w:adjustRightInd/>
              <w:spacing w:line="360" w:lineRule="auto"/>
              <w:ind w:firstLine="310" w:firstLineChars="147"/>
              <w:jc w:val="both"/>
              <w:rPr>
                <w:rFonts w:hint="eastAsia" w:ascii="Times New Roman" w:hAnsi="Times New Roman" w:eastAsia="宋体" w:cs="Times New Roman"/>
                <w:b/>
                <w:color w:val="auto"/>
                <w:kern w:val="2"/>
                <w:sz w:val="21"/>
                <w:szCs w:val="21"/>
              </w:rPr>
            </w:pPr>
            <w:r>
              <w:rPr>
                <w:rFonts w:hint="eastAsia" w:ascii="Times New Roman" w:hAnsi="Times New Roman" w:eastAsia="宋体" w:cs="Times New Roman"/>
                <w:b/>
                <w:color w:val="auto"/>
                <w:kern w:val="2"/>
                <w:sz w:val="21"/>
                <w:szCs w:val="21"/>
              </w:rPr>
              <w:t>（</w:t>
            </w:r>
            <w:r>
              <w:rPr>
                <w:rFonts w:hint="eastAsia" w:ascii="Times New Roman" w:hAnsi="Times New Roman" w:eastAsia="宋体" w:cs="Times New Roman"/>
                <w:b/>
                <w:color w:val="auto"/>
                <w:kern w:val="2"/>
                <w:sz w:val="21"/>
                <w:szCs w:val="21"/>
                <w:lang w:val="en-US" w:eastAsia="zh-CN"/>
              </w:rPr>
              <w:t>四</w:t>
            </w:r>
            <w:r>
              <w:rPr>
                <w:rFonts w:hint="eastAsia" w:ascii="Times New Roman" w:hAnsi="Times New Roman" w:eastAsia="宋体" w:cs="Times New Roman"/>
                <w:b/>
                <w:color w:val="auto"/>
                <w:kern w:val="2"/>
                <w:sz w:val="21"/>
                <w:szCs w:val="21"/>
              </w:rPr>
              <w:t>）住宅部分：</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w:t>
            </w:r>
            <w:r>
              <w:rPr>
                <w:rFonts w:hint="eastAsia" w:ascii="宋体" w:hAnsi="宋体" w:eastAsia="宋体" w:cs="Times New Roman"/>
                <w:color w:val="auto"/>
                <w:kern w:val="2"/>
                <w:sz w:val="21"/>
                <w:szCs w:val="21"/>
                <w:lang w:val="en-US" w:eastAsia="zh-CN"/>
              </w:rPr>
              <w:t>普通</w:t>
            </w:r>
            <w:r>
              <w:rPr>
                <w:rFonts w:hint="eastAsia" w:ascii="宋体" w:hAnsi="宋体" w:eastAsia="宋体" w:cs="Times New Roman"/>
                <w:color w:val="auto"/>
                <w:kern w:val="2"/>
                <w:sz w:val="21"/>
                <w:szCs w:val="21"/>
              </w:rPr>
              <w:t>外墙涂料</w:t>
            </w:r>
            <w:r>
              <w:rPr>
                <w:rFonts w:hint="eastAsia" w:ascii="宋体" w:hAnsi="宋体" w:eastAsia="宋体" w:cs="Times New Roman"/>
                <w:color w:val="auto"/>
                <w:kern w:val="2"/>
                <w:sz w:val="21"/>
                <w:szCs w:val="21"/>
                <w:lang w:val="en-US" w:eastAsia="zh-CN"/>
              </w:rPr>
              <w:t>采用</w:t>
            </w:r>
            <w:r>
              <w:rPr>
                <w:rFonts w:hint="eastAsia" w:ascii="宋体" w:hAnsi="宋体" w:eastAsia="宋体" w:cs="Times New Roman"/>
                <w:color w:val="auto"/>
                <w:kern w:val="2"/>
                <w:sz w:val="21"/>
                <w:szCs w:val="21"/>
              </w:rPr>
              <w:t>弹性涂料，做法为外墙腻子二道，</w:t>
            </w:r>
            <w:r>
              <w:rPr>
                <w:rFonts w:hint="eastAsia" w:ascii="宋体" w:hAnsi="宋体" w:eastAsia="宋体" w:cs="Times New Roman"/>
                <w:color w:val="auto"/>
                <w:kern w:val="2"/>
                <w:sz w:val="21"/>
                <w:szCs w:val="21"/>
                <w:lang w:val="en-US" w:eastAsia="zh-CN"/>
              </w:rPr>
              <w:t>弹性涂料</w:t>
            </w:r>
            <w:r>
              <w:rPr>
                <w:rFonts w:hint="eastAsia" w:ascii="宋体" w:hAnsi="宋体" w:eastAsia="宋体" w:cs="Times New Roman"/>
                <w:color w:val="auto"/>
                <w:kern w:val="2"/>
                <w:sz w:val="21"/>
                <w:szCs w:val="21"/>
              </w:rPr>
              <w:t>底涂一道，中途一道，面涂二道。</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w:t>
            </w:r>
            <w:r>
              <w:rPr>
                <w:rFonts w:hint="eastAsia" w:ascii="宋体" w:hAnsi="宋体" w:eastAsia="宋体" w:cs="Times New Roman"/>
                <w:color w:val="auto"/>
                <w:kern w:val="2"/>
                <w:sz w:val="21"/>
                <w:szCs w:val="21"/>
                <w:lang w:val="en-US" w:eastAsia="zh-CN"/>
              </w:rPr>
              <w:t>户内木</w:t>
            </w:r>
            <w:r>
              <w:rPr>
                <w:rFonts w:hint="eastAsia" w:ascii="宋体" w:hAnsi="宋体" w:eastAsia="宋体" w:cs="Times New Roman"/>
                <w:color w:val="auto"/>
                <w:kern w:val="2"/>
                <w:sz w:val="21"/>
                <w:szCs w:val="21"/>
              </w:rPr>
              <w:t>门</w:t>
            </w:r>
            <w:r>
              <w:rPr>
                <w:rFonts w:hint="eastAsia" w:ascii="宋体" w:hAnsi="宋体" w:eastAsia="宋体" w:cs="Times New Roman"/>
                <w:color w:val="auto"/>
                <w:kern w:val="2"/>
                <w:sz w:val="21"/>
                <w:szCs w:val="21"/>
                <w:lang w:val="en-US" w:eastAsia="zh-CN"/>
              </w:rPr>
              <w:t>除门窗表中注明为镶板门外均为</w:t>
            </w:r>
            <w:r>
              <w:rPr>
                <w:rFonts w:hint="eastAsia" w:ascii="宋体" w:hAnsi="宋体" w:eastAsia="宋体" w:cs="Times New Roman"/>
                <w:color w:val="auto"/>
                <w:kern w:val="2"/>
                <w:sz w:val="21"/>
                <w:szCs w:val="21"/>
              </w:rPr>
              <w:t>胶合板木门，配球形锁计入</w:t>
            </w:r>
            <w:r>
              <w:rPr>
                <w:rFonts w:hint="eastAsia" w:ascii="宋体" w:hAnsi="宋体" w:eastAsia="宋体" w:cs="Times New Roman"/>
                <w:color w:val="auto"/>
                <w:kern w:val="2"/>
                <w:sz w:val="21"/>
                <w:szCs w:val="21"/>
                <w:lang w:eastAsia="zh-CN"/>
              </w:rPr>
              <w:t>。</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单元电子对讲安全防卫门：门框采用为≥1.5MM厚的优质钢板，门板板面采用≥0.8MM厚的优质钢板，门板双面覆，双面采用高温磷化喷塑处理，不锈钢把手，并配置十字锁每户五把。上面高750MM为格栅门；配有数码式非可视对讲主机1只，非可视对讲分机每户1只，静音电控锁1把，电控锁钥匙每户5只，其余的楼层解码模块或分配器、电源及电源箱、闭门器、系统总、分信号管及线等配件由施工单位按规定自行配置，以上所有组件的价格均已包含在单价内。</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铝合金推拉窗单价已包含防脱落装置，不另增加费用。</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w:t>
            </w:r>
            <w:r>
              <w:rPr>
                <w:rFonts w:hint="eastAsia" w:ascii="宋体" w:hAnsi="宋体" w:eastAsia="宋体" w:cs="Times New Roman"/>
                <w:color w:val="auto"/>
                <w:kern w:val="2"/>
                <w:sz w:val="21"/>
                <w:szCs w:val="21"/>
                <w:lang w:val="en-US" w:eastAsia="zh-CN"/>
              </w:rPr>
              <w:t>地上室外顶板、顶板梁需做抗渗，抗渗等级为P8。</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本工程户内推拉门</w:t>
            </w:r>
            <w:r>
              <w:rPr>
                <w:rFonts w:hint="eastAsia" w:ascii="宋体" w:hAnsi="宋体" w:eastAsia="宋体" w:cs="Times New Roman"/>
                <w:color w:val="auto"/>
                <w:kern w:val="2"/>
                <w:sz w:val="21"/>
                <w:szCs w:val="21"/>
                <w:lang w:val="en-US" w:eastAsia="zh-CN"/>
              </w:rPr>
              <w:t>为</w:t>
            </w:r>
            <w:r>
              <w:rPr>
                <w:rFonts w:hint="eastAsia" w:ascii="宋体" w:hAnsi="宋体" w:eastAsia="宋体" w:cs="Times New Roman"/>
                <w:color w:val="auto"/>
                <w:kern w:val="2"/>
                <w:sz w:val="21"/>
                <w:szCs w:val="21"/>
              </w:rPr>
              <w:t>90系列</w:t>
            </w:r>
            <w:r>
              <w:rPr>
                <w:rFonts w:hint="eastAsia" w:ascii="宋体" w:hAnsi="宋体" w:eastAsia="宋体" w:cs="Times New Roman"/>
                <w:color w:val="auto"/>
                <w:kern w:val="2"/>
                <w:sz w:val="21"/>
                <w:szCs w:val="21"/>
                <w:lang w:val="en-US" w:eastAsia="zh-CN"/>
              </w:rPr>
              <w:t>铝合金</w:t>
            </w:r>
            <w:r>
              <w:rPr>
                <w:rFonts w:hint="eastAsia" w:ascii="宋体" w:hAnsi="宋体" w:eastAsia="宋体" w:cs="Times New Roman"/>
                <w:color w:val="auto"/>
                <w:kern w:val="2"/>
                <w:sz w:val="21"/>
                <w:szCs w:val="21"/>
              </w:rPr>
              <w:t>推拉门（6+12A+6双钢化中空）</w:t>
            </w:r>
            <w:r>
              <w:rPr>
                <w:rFonts w:hint="eastAsia" w:ascii="宋体" w:hAnsi="宋体" w:eastAsia="宋体" w:cs="Times New Roman"/>
                <w:color w:val="auto"/>
                <w:kern w:val="2"/>
                <w:sz w:val="21"/>
                <w:szCs w:val="21"/>
                <w:lang w:eastAsia="zh-CN"/>
              </w:rPr>
              <w:t>，</w:t>
            </w:r>
            <w:r>
              <w:rPr>
                <w:rFonts w:hint="eastAsia" w:ascii="宋体" w:hAnsi="宋体" w:eastAsia="宋体" w:cs="Times New Roman"/>
                <w:color w:val="auto"/>
                <w:kern w:val="2"/>
                <w:sz w:val="21"/>
                <w:szCs w:val="21"/>
              </w:rPr>
              <w:t>壁厚2.0。</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lang w:val="en-US" w:eastAsia="zh-CN"/>
              </w:rPr>
              <w:t>本工程户内折叠门采材质为胶合板门，开启方式为折叠。</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架空层、标准层门厅、电梯厅基层做法为：墙面801胶水调碳酸钙粉（老粉），刮批墙面至平整。</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独立柱、独立梁做法均同相对应墙面。</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一层物业用房经营用房、物业办公用房、安防用房、其他配套用房墙面、顶棚均按无水房间做法计入：1、界面剂一道甩毛；2、20厚专用水泥石灰砂浆压实赶光；3、白色无机内墙涂料一底两面。踢脚线做法同10#物业办公用房：1、12厚DS15干混砂浆打底划出纹道；2、素水泥浆一道；3、8厚DS15干混砂浆抹面压实赶光，高120。</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楼梯间墙面按无水房间要求计入：1、界面剂一道甩毛；2、20厚专用水泥石灰砂浆压实赶光；3、白色无机内墙涂料一底两面。顶面按无水房间要求计入：板底清理,白水泥石膏粉胶水腻子二度刮白,白色无机涂料二度。地面做法同楼梯踏步面层：30厚C25细石混凝土随捣随抹平(楼梯踏步阳角处增设铜条护角)；水泥浆一道；结构板面层清理。踢脚线做法同水电井、配电小间：1、12厚DS15干混砂浆打底划出纹道；2、素水泥浆一道；3、8厚DS15干混砂浆抹面压实赶光，高120。</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竣工标志牌按综合价500元/个计入，工程量按实结算，单价不做调整。</w:t>
            </w:r>
          </w:p>
          <w:p>
            <w:pPr>
              <w:numPr>
                <w:ilvl w:val="0"/>
                <w:numId w:val="46"/>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卫生间地面做法按土建图纸计入：1、10厚600X600防滑耐磨地砖,素水泥擦缝；2、20厚1:3干硬性水泥砂浆,表面撒水泥粉；3、设置1.5+1.5厚JS-II型聚合物水泥基防水涂料:四周沿墙翻起300mm,</w:t>
            </w:r>
          </w:p>
          <w:p>
            <w:pPr>
              <w:numPr>
                <w:ilvl w:val="0"/>
                <w:numId w:val="0"/>
              </w:numPr>
              <w:autoSpaceDE/>
              <w:autoSpaceDN/>
              <w:adjustRightInd/>
              <w:spacing w:line="360" w:lineRule="auto"/>
              <w:jc w:val="both"/>
              <w:rPr>
                <w:rFonts w:hint="default"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门口向外刷出500mm;向两侧延展200mm；(颜色为灰色)（4、 DS15干混砂浆找坡层1%坡向地漏,最薄处30厚抹平,沿墙根抹小八字角；5、 水泥浆一道(内掺建筑胶)；6、现浇混凝土结构板。厨房地面做法按土建图纸计入：1、10厚600X600防滑耐磨地砖,素水泥擦缝；2、20厚1:3干硬性水泥砂浆,表面撒水泥粉；3、设置1.5+1.5厚JS-II型聚合物水泥基防水涂料:四周沿墙翻起300mm，门口向外刷出500mm;向两侧延展200mm；(颜色为灰色)4、30厚C25细石混凝土随捣随抹平；5、水泥浆一道(内掺建筑胶)；6、现浇混凝土结构板。</w:t>
            </w:r>
          </w:p>
          <w:p>
            <w:pPr>
              <w:autoSpaceDE/>
              <w:autoSpaceDN/>
              <w:adjustRightInd/>
              <w:spacing w:line="360" w:lineRule="auto"/>
              <w:ind w:firstLine="310" w:firstLineChars="147"/>
              <w:jc w:val="both"/>
              <w:rPr>
                <w:rFonts w:hint="eastAsia" w:ascii="宋体" w:hAnsi="宋体" w:eastAsia="宋体" w:cs="Times New Roman"/>
                <w:color w:val="auto"/>
                <w:kern w:val="2"/>
                <w:sz w:val="21"/>
                <w:szCs w:val="21"/>
                <w:lang w:val="en-US" w:eastAsia="zh-CN"/>
              </w:rPr>
            </w:pPr>
            <w:r>
              <w:rPr>
                <w:rFonts w:hint="eastAsia" w:ascii="Times New Roman" w:hAnsi="Times New Roman" w:eastAsia="宋体" w:cs="Times New Roman"/>
                <w:b/>
                <w:color w:val="auto"/>
                <w:kern w:val="2"/>
                <w:sz w:val="21"/>
                <w:szCs w:val="21"/>
              </w:rPr>
              <w:t>（</w:t>
            </w:r>
            <w:r>
              <w:rPr>
                <w:rFonts w:hint="eastAsia" w:ascii="Times New Roman" w:hAnsi="Times New Roman" w:eastAsia="宋体" w:cs="Times New Roman"/>
                <w:b/>
                <w:color w:val="auto"/>
                <w:kern w:val="2"/>
                <w:sz w:val="21"/>
                <w:szCs w:val="21"/>
                <w:lang w:val="en-US" w:eastAsia="zh-CN"/>
              </w:rPr>
              <w:t>五</w:t>
            </w:r>
            <w:r>
              <w:rPr>
                <w:rFonts w:hint="eastAsia" w:ascii="Times New Roman" w:hAnsi="Times New Roman" w:eastAsia="宋体" w:cs="Times New Roman"/>
                <w:b/>
                <w:color w:val="auto"/>
                <w:kern w:val="2"/>
                <w:sz w:val="21"/>
                <w:szCs w:val="21"/>
              </w:rPr>
              <w:t>）</w:t>
            </w:r>
            <w:r>
              <w:rPr>
                <w:rFonts w:hint="eastAsia" w:ascii="Times New Roman" w:hAnsi="Times New Roman" w:eastAsia="宋体" w:cs="Times New Roman"/>
                <w:b/>
                <w:color w:val="auto"/>
                <w:kern w:val="2"/>
                <w:sz w:val="21"/>
                <w:szCs w:val="21"/>
                <w:lang w:val="en-US" w:eastAsia="zh-CN"/>
              </w:rPr>
              <w:t>幕墙</w:t>
            </w:r>
            <w:r>
              <w:rPr>
                <w:rFonts w:hint="eastAsia" w:ascii="Times New Roman" w:hAnsi="Times New Roman" w:eastAsia="宋体" w:cs="Times New Roman"/>
                <w:b/>
                <w:color w:val="auto"/>
                <w:kern w:val="2"/>
                <w:sz w:val="21"/>
                <w:szCs w:val="21"/>
              </w:rPr>
              <w:t>部分：</w:t>
            </w:r>
          </w:p>
          <w:p>
            <w:pPr>
              <w:numPr>
                <w:ilvl w:val="0"/>
                <w:numId w:val="47"/>
              </w:numPr>
              <w:autoSpaceDE/>
              <w:autoSpaceDN/>
              <w:adjustRightInd/>
              <w:spacing w:line="360" w:lineRule="auto"/>
              <w:ind w:left="0" w:leftChars="0" w:firstLine="284"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rPr>
              <w:t>石材主材费用包含石材及加工费，加工费不限于石材防护、平板开槽、石材倒海棠角抛光、石材背切清角、石材粘结、石材等厚阳角并抛光、石材开滴水槽、线条切角等，包含在综合单价中。</w:t>
            </w:r>
            <w:r>
              <w:rPr>
                <w:rFonts w:hint="eastAsia" w:ascii="宋体" w:hAnsi="宋体" w:eastAsia="宋体" w:cs="Times New Roman"/>
                <w:kern w:val="2"/>
                <w:sz w:val="21"/>
                <w:szCs w:val="21"/>
                <w:lang w:val="en-US" w:eastAsia="zh-CN"/>
              </w:rPr>
              <w:t>25mm光面花岗岩石材、25mm蜂窝石材选样未定，按暂定价计入。</w:t>
            </w:r>
          </w:p>
          <w:p>
            <w:pPr>
              <w:numPr>
                <w:ilvl w:val="0"/>
                <w:numId w:val="47"/>
              </w:numPr>
              <w:autoSpaceDE/>
              <w:autoSpaceDN/>
              <w:adjustRightInd/>
              <w:spacing w:line="360" w:lineRule="auto"/>
              <w:ind w:left="0" w:leftChars="0" w:firstLine="284"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铝板加强筋、折边加工费、异型加工费、表面颜色及骨架弯弧加工费须在综合单价中综合考虑。</w:t>
            </w:r>
          </w:p>
          <w:p>
            <w:pPr>
              <w:numPr>
                <w:ilvl w:val="0"/>
                <w:numId w:val="47"/>
              </w:numPr>
              <w:autoSpaceDE/>
              <w:autoSpaceDN/>
              <w:adjustRightInd/>
              <w:spacing w:line="360" w:lineRule="auto"/>
              <w:ind w:left="0" w:leftChars="0" w:firstLine="284"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淋水实验、四性检测考虑进措施费中，脚手架可利用主体工程脚手架。</w:t>
            </w:r>
          </w:p>
          <w:p>
            <w:pPr>
              <w:numPr>
                <w:ilvl w:val="0"/>
                <w:numId w:val="47"/>
              </w:numPr>
              <w:autoSpaceDE/>
              <w:autoSpaceDN/>
              <w:adjustRightInd/>
              <w:spacing w:line="360" w:lineRule="auto"/>
              <w:ind w:left="0" w:leftChars="0" w:firstLine="284"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铝型材开模费不单独计取，含在铝型材单价内综合考虑。</w:t>
            </w:r>
          </w:p>
          <w:p>
            <w:pPr>
              <w:numPr>
                <w:ilvl w:val="0"/>
                <w:numId w:val="47"/>
              </w:numPr>
              <w:autoSpaceDE/>
              <w:autoSpaceDN/>
              <w:adjustRightInd/>
              <w:spacing w:line="360" w:lineRule="auto"/>
              <w:ind w:left="0" w:leftChars="0" w:firstLine="284"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四性检测费、淋水试验费综合考虑在10#楼措施费内。</w:t>
            </w:r>
          </w:p>
          <w:p>
            <w:pPr>
              <w:numPr>
                <w:ilvl w:val="0"/>
                <w:numId w:val="47"/>
              </w:numPr>
              <w:autoSpaceDE/>
              <w:autoSpaceDN/>
              <w:adjustRightInd/>
              <w:spacing w:line="360" w:lineRule="auto"/>
              <w:ind w:left="0" w:leftChars="0" w:firstLine="284" w:firstLineChars="0"/>
              <w:jc w:val="both"/>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不锈钢背栓挂件、铝合金型材（氟碳喷涂）、1.5mm镀锌钢板、30mm吸音棉、M12后切底机械锚栓、M12穿杆螺栓、硅酮耐候密封胶、不锈钢石材干挂挂件、M12不锈钢螺栓组、镀锌钢材、氟碳钢材等材料无绍兴信息价，按市场价计入。</w:t>
            </w:r>
          </w:p>
          <w:p>
            <w:pPr>
              <w:pStyle w:val="34"/>
              <w:numPr>
                <w:ilvl w:val="0"/>
                <w:numId w:val="48"/>
              </w:numPr>
              <w:spacing w:line="360" w:lineRule="auto"/>
              <w:ind w:firstLine="207" w:firstLineChars="98"/>
              <w:rPr>
                <w:rFonts w:hint="eastAsia" w:ascii="宋体" w:hAnsi="宋体" w:eastAsia="宋体" w:cs="Times New Roman"/>
                <w:b/>
                <w:color w:val="auto"/>
                <w:szCs w:val="21"/>
              </w:rPr>
            </w:pPr>
            <w:r>
              <w:rPr>
                <w:rFonts w:hint="eastAsia" w:ascii="宋体" w:hAnsi="宋体" w:eastAsia="宋体" w:cs="Times New Roman"/>
                <w:b/>
                <w:color w:val="auto"/>
                <w:szCs w:val="21"/>
              </w:rPr>
              <w:t>场外部分：</w:t>
            </w:r>
          </w:p>
          <w:p>
            <w:pPr>
              <w:pStyle w:val="34"/>
              <w:numPr>
                <w:ilvl w:val="0"/>
                <w:numId w:val="49"/>
              </w:numPr>
              <w:spacing w:line="360" w:lineRule="auto"/>
              <w:rPr>
                <w:rFonts w:hint="eastAsia" w:ascii="宋体" w:hAnsi="宋体" w:eastAsia="宋体" w:cs="Times New Roman"/>
                <w:b/>
                <w:color w:val="auto"/>
                <w:szCs w:val="21"/>
              </w:rPr>
            </w:pPr>
            <w:r>
              <w:rPr>
                <w:rFonts w:hint="eastAsia" w:ascii="宋体" w:hAnsi="宋体" w:eastAsia="宋体" w:cs="Times New Roman"/>
                <w:b/>
                <w:color w:val="auto"/>
                <w:szCs w:val="21"/>
              </w:rPr>
              <w:t>场外景观：</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本工程标底中侧、平石费用已综合考虑弧形加工费，费用不再另行计算，结算时不</w:t>
            </w:r>
            <w:r>
              <w:rPr>
                <w:rFonts w:hint="eastAsia" w:ascii="宋体" w:hAnsi="宋体" w:eastAsia="宋体" w:cs="Times New Roman"/>
                <w:color w:val="auto"/>
                <w:kern w:val="2"/>
                <w:sz w:val="21"/>
                <w:szCs w:val="21"/>
                <w:highlight w:val="none"/>
                <w:lang w:val="en-US" w:eastAsia="zh-CN"/>
              </w:rPr>
              <w:t>做</w:t>
            </w:r>
            <w:r>
              <w:rPr>
                <w:rFonts w:hint="eastAsia" w:ascii="宋体" w:hAnsi="宋体" w:eastAsia="宋体" w:cs="Times New Roman"/>
                <w:color w:val="auto"/>
                <w:kern w:val="2"/>
                <w:sz w:val="21"/>
                <w:szCs w:val="21"/>
                <w:highlight w:val="none"/>
              </w:rPr>
              <w:t>调整</w:t>
            </w:r>
            <w:r>
              <w:rPr>
                <w:rFonts w:hint="eastAsia" w:ascii="宋体" w:hAnsi="宋体" w:eastAsia="宋体" w:cs="Times New Roman"/>
                <w:color w:val="auto"/>
                <w:kern w:val="2"/>
                <w:sz w:val="21"/>
                <w:szCs w:val="21"/>
                <w:highlight w:val="none"/>
                <w:lang w:eastAsia="zh-CN"/>
              </w:rPr>
              <w:t>。</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本工程塘渣</w:t>
            </w:r>
            <w:r>
              <w:rPr>
                <w:rFonts w:hint="eastAsia" w:ascii="宋体" w:hAnsi="宋体" w:eastAsia="宋体" w:cs="Times New Roman"/>
                <w:color w:val="auto"/>
                <w:kern w:val="2"/>
                <w:sz w:val="21"/>
                <w:szCs w:val="21"/>
                <w:highlight w:val="none"/>
                <w:lang w:eastAsia="zh-CN"/>
              </w:rPr>
              <w:t>按</w:t>
            </w:r>
            <w:r>
              <w:rPr>
                <w:rFonts w:hint="eastAsia" w:ascii="宋体" w:hAnsi="宋体" w:eastAsia="宋体" w:cs="Times New Roman"/>
                <w:color w:val="auto"/>
                <w:kern w:val="2"/>
                <w:sz w:val="21"/>
                <w:szCs w:val="21"/>
                <w:highlight w:val="none"/>
              </w:rPr>
              <w:t>综合价85元/m3</w:t>
            </w:r>
            <w:r>
              <w:rPr>
                <w:rFonts w:hint="eastAsia" w:ascii="宋体" w:hAnsi="宋体" w:eastAsia="宋体" w:cs="Times New Roman"/>
                <w:color w:val="auto"/>
                <w:kern w:val="2"/>
                <w:sz w:val="21"/>
                <w:szCs w:val="21"/>
                <w:highlight w:val="none"/>
                <w:lang w:eastAsia="zh-CN"/>
              </w:rPr>
              <w:t>考虑</w:t>
            </w:r>
            <w:r>
              <w:rPr>
                <w:rFonts w:hint="eastAsia" w:ascii="宋体" w:hAnsi="宋体" w:eastAsia="宋体" w:cs="Times New Roman"/>
                <w:color w:val="auto"/>
                <w:kern w:val="2"/>
                <w:sz w:val="21"/>
                <w:szCs w:val="21"/>
                <w:highlight w:val="none"/>
              </w:rPr>
              <w:t>。</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本工程场地自然地坪标高6.62m，干湿土分界点按黄海标高5.73</w:t>
            </w:r>
            <w:r>
              <w:rPr>
                <w:rFonts w:hint="eastAsia" w:ascii="宋体" w:hAnsi="宋体" w:eastAsia="宋体" w:cs="Times New Roman"/>
                <w:color w:val="auto"/>
                <w:kern w:val="2"/>
                <w:sz w:val="21"/>
                <w:szCs w:val="21"/>
                <w:highlight w:val="none"/>
                <w:lang w:eastAsia="zh-CN"/>
              </w:rPr>
              <w:t>计入，结算不</w:t>
            </w:r>
            <w:r>
              <w:rPr>
                <w:rFonts w:hint="eastAsia" w:ascii="宋体" w:hAnsi="宋体" w:eastAsia="宋体" w:cs="Times New Roman"/>
                <w:color w:val="auto"/>
                <w:kern w:val="2"/>
                <w:sz w:val="21"/>
                <w:szCs w:val="21"/>
                <w:highlight w:val="none"/>
                <w:lang w:val="en-US" w:eastAsia="zh-CN"/>
              </w:rPr>
              <w:t>做</w:t>
            </w:r>
            <w:r>
              <w:rPr>
                <w:rFonts w:hint="eastAsia" w:ascii="宋体" w:hAnsi="宋体" w:eastAsia="宋体" w:cs="Times New Roman"/>
                <w:color w:val="auto"/>
                <w:kern w:val="2"/>
                <w:sz w:val="21"/>
                <w:szCs w:val="21"/>
                <w:highlight w:val="none"/>
                <w:lang w:eastAsia="zh-CN"/>
              </w:rPr>
              <w:t>调整。</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本工程地面花岗岩铺设费用已经综合错缝</w:t>
            </w:r>
            <w:r>
              <w:rPr>
                <w:rFonts w:hint="eastAsia" w:ascii="宋体" w:hAnsi="宋体" w:eastAsia="宋体" w:cs="Times New Roman"/>
                <w:color w:val="auto"/>
                <w:kern w:val="2"/>
                <w:sz w:val="21"/>
                <w:szCs w:val="21"/>
                <w:highlight w:val="none"/>
                <w:lang w:eastAsia="zh-CN"/>
              </w:rPr>
              <w:t>、离缝</w:t>
            </w:r>
            <w:r>
              <w:rPr>
                <w:rFonts w:hint="eastAsia" w:ascii="宋体" w:hAnsi="宋体" w:eastAsia="宋体" w:cs="Times New Roman"/>
                <w:color w:val="auto"/>
                <w:kern w:val="2"/>
                <w:sz w:val="21"/>
                <w:szCs w:val="21"/>
                <w:highlight w:val="none"/>
              </w:rPr>
              <w:t>等施工工艺，费用不再另行计算，结算时不</w:t>
            </w:r>
            <w:r>
              <w:rPr>
                <w:rFonts w:hint="eastAsia" w:ascii="宋体" w:hAnsi="宋体" w:eastAsia="宋体" w:cs="Times New Roman"/>
                <w:color w:val="auto"/>
                <w:kern w:val="2"/>
                <w:sz w:val="21"/>
                <w:szCs w:val="21"/>
                <w:highlight w:val="none"/>
                <w:lang w:val="en-US" w:eastAsia="zh-CN"/>
              </w:rPr>
              <w:t>做</w:t>
            </w:r>
            <w:r>
              <w:rPr>
                <w:rFonts w:hint="eastAsia" w:ascii="宋体" w:hAnsi="宋体" w:eastAsia="宋体" w:cs="Times New Roman"/>
                <w:color w:val="auto"/>
                <w:kern w:val="2"/>
                <w:sz w:val="21"/>
                <w:szCs w:val="21"/>
                <w:highlight w:val="none"/>
              </w:rPr>
              <w:t>调整</w:t>
            </w:r>
            <w:r>
              <w:rPr>
                <w:rFonts w:hint="eastAsia" w:ascii="宋体" w:hAnsi="宋体" w:eastAsia="宋体" w:cs="Times New Roman"/>
                <w:color w:val="auto"/>
                <w:kern w:val="2"/>
                <w:sz w:val="21"/>
                <w:szCs w:val="21"/>
                <w:highlight w:val="none"/>
                <w:lang w:eastAsia="zh-CN"/>
              </w:rPr>
              <w:t>。</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eastAsia="zh-CN"/>
              </w:rPr>
              <w:t>经设计明确，胶黏石铺装中收边按</w:t>
            </w:r>
            <w:r>
              <w:rPr>
                <w:rFonts w:hint="eastAsia" w:ascii="宋体" w:hAnsi="宋体" w:eastAsia="宋体" w:cs="Times New Roman"/>
                <w:color w:val="auto"/>
                <w:kern w:val="2"/>
                <w:sz w:val="21"/>
                <w:szCs w:val="21"/>
                <w:highlight w:val="none"/>
                <w:lang w:val="en-US" w:eastAsia="zh-CN"/>
              </w:rPr>
              <w:t>5厚60宽不锈钢板，60*45*5厚不锈钢角铁，亚光面，膨胀螺栓固定考虑。</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无障碍坡道P11</w:t>
            </w:r>
            <w:r>
              <w:rPr>
                <w:rFonts w:hint="eastAsia" w:ascii="宋体" w:hAnsi="宋体" w:eastAsia="宋体" w:cs="Times New Roman"/>
                <w:color w:val="auto"/>
                <w:kern w:val="2"/>
                <w:sz w:val="21"/>
                <w:szCs w:val="21"/>
                <w:highlight w:val="none"/>
                <w:lang w:eastAsia="zh-CN"/>
              </w:rPr>
              <w:t>及</w:t>
            </w:r>
            <w:r>
              <w:rPr>
                <w:rFonts w:hint="eastAsia" w:ascii="宋体" w:hAnsi="宋体" w:eastAsia="宋体" w:cs="Times New Roman"/>
                <w:color w:val="auto"/>
                <w:kern w:val="2"/>
                <w:sz w:val="21"/>
                <w:szCs w:val="21"/>
                <w:highlight w:val="none"/>
                <w:lang w:val="en-US" w:eastAsia="zh-CN"/>
              </w:rPr>
              <w:t>P12铺装</w:t>
            </w:r>
            <w:r>
              <w:rPr>
                <w:rFonts w:hint="eastAsia" w:ascii="宋体" w:hAnsi="宋体" w:eastAsia="宋体" w:cs="Times New Roman"/>
                <w:color w:val="auto"/>
                <w:kern w:val="2"/>
                <w:sz w:val="21"/>
                <w:szCs w:val="21"/>
                <w:highlight w:val="none"/>
              </w:rPr>
              <w:t>场外</w:t>
            </w:r>
            <w:r>
              <w:rPr>
                <w:rFonts w:hint="eastAsia" w:ascii="宋体" w:hAnsi="宋体" w:eastAsia="宋体" w:cs="Times New Roman"/>
                <w:color w:val="auto"/>
                <w:kern w:val="2"/>
                <w:sz w:val="21"/>
                <w:szCs w:val="21"/>
                <w:highlight w:val="none"/>
                <w:lang w:eastAsia="zh-CN"/>
              </w:rPr>
              <w:t>仅考虑</w:t>
            </w:r>
            <w:r>
              <w:rPr>
                <w:rFonts w:hint="eastAsia" w:ascii="宋体" w:hAnsi="宋体" w:eastAsia="宋体" w:cs="Times New Roman"/>
                <w:color w:val="auto"/>
                <w:kern w:val="2"/>
                <w:sz w:val="21"/>
                <w:szCs w:val="21"/>
                <w:highlight w:val="none"/>
              </w:rPr>
              <w:t>面层及粘结层</w:t>
            </w:r>
            <w:r>
              <w:rPr>
                <w:rFonts w:hint="eastAsia" w:ascii="宋体" w:hAnsi="宋体" w:eastAsia="宋体" w:cs="Times New Roman"/>
                <w:color w:val="auto"/>
                <w:kern w:val="2"/>
                <w:sz w:val="21"/>
                <w:szCs w:val="21"/>
                <w:highlight w:val="none"/>
                <w:lang w:eastAsia="zh-CN"/>
              </w:rPr>
              <w:t>，基础部分已计入土建工程中。</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eastAsia="zh-CN"/>
              </w:rPr>
              <w:t>经设计明确，施工</w:t>
            </w:r>
            <w:r>
              <w:rPr>
                <w:rFonts w:hint="eastAsia" w:ascii="宋体" w:hAnsi="宋体" w:eastAsia="宋体" w:cs="Times New Roman"/>
                <w:color w:val="auto"/>
                <w:kern w:val="2"/>
                <w:sz w:val="21"/>
                <w:szCs w:val="21"/>
                <w:highlight w:val="none"/>
              </w:rPr>
              <w:t>详图和结构图纸不一致时，</w:t>
            </w:r>
            <w:r>
              <w:rPr>
                <w:rFonts w:hint="eastAsia" w:ascii="宋体" w:hAnsi="宋体" w:eastAsia="宋体" w:cs="Times New Roman"/>
                <w:color w:val="auto"/>
                <w:kern w:val="2"/>
                <w:sz w:val="21"/>
                <w:szCs w:val="21"/>
                <w:highlight w:val="none"/>
                <w:lang w:eastAsia="zh-CN"/>
              </w:rPr>
              <w:t>控制价</w:t>
            </w:r>
            <w:r>
              <w:rPr>
                <w:rFonts w:hint="eastAsia" w:ascii="宋体" w:hAnsi="宋体" w:eastAsia="宋体" w:cs="Times New Roman"/>
                <w:color w:val="auto"/>
                <w:kern w:val="2"/>
                <w:sz w:val="21"/>
                <w:szCs w:val="21"/>
                <w:highlight w:val="none"/>
              </w:rPr>
              <w:t>按结构图纸计入</w:t>
            </w:r>
            <w:r>
              <w:rPr>
                <w:rFonts w:hint="eastAsia" w:ascii="宋体" w:hAnsi="宋体" w:eastAsia="宋体" w:cs="Times New Roman"/>
                <w:color w:val="auto"/>
                <w:kern w:val="2"/>
                <w:sz w:val="21"/>
                <w:szCs w:val="21"/>
                <w:highlight w:val="none"/>
                <w:lang w:eastAsia="zh-CN"/>
              </w:rPr>
              <w:t>。</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eastAsia="zh-CN"/>
              </w:rPr>
              <w:t>经业主明确，</w:t>
            </w:r>
            <w:r>
              <w:rPr>
                <w:rFonts w:hint="eastAsia" w:ascii="宋体" w:hAnsi="宋体" w:eastAsia="宋体" w:cs="Times New Roman"/>
                <w:color w:val="auto"/>
                <w:kern w:val="2"/>
                <w:sz w:val="21"/>
                <w:szCs w:val="21"/>
                <w:highlight w:val="none"/>
              </w:rPr>
              <w:t>沙发、垃圾箱、健身器材及儿童活动区活动器材均不在本次招标范围内。</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eastAsia="zh-CN"/>
              </w:rPr>
              <w:t>景观门廊已计入土建中。</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eastAsia="zh-CN"/>
              </w:rPr>
              <w:t>经设计及建设单位明确，围墙栏杆进行优化，栏杆按100*50*3厚铝合金方管，100*60*1.2厚铝合金板，20*20*1.5厚通长铝合金方管，50*20*3厚通长铝合金方管，50*50*1.5厚通长铝合金方管，颜色同建筑窗框色计入控制价。</w:t>
            </w:r>
          </w:p>
          <w:p>
            <w:pPr>
              <w:numPr>
                <w:ilvl w:val="0"/>
                <w:numId w:val="49"/>
              </w:numPr>
              <w:tabs>
                <w:tab w:val="left" w:pos="-168"/>
                <w:tab w:val="left" w:pos="360"/>
                <w:tab w:val="left" w:pos="780"/>
              </w:tabs>
              <w:autoSpaceDE/>
              <w:autoSpaceDN/>
              <w:adjustRightInd/>
              <w:spacing w:line="360" w:lineRule="auto"/>
              <w:jc w:val="both"/>
              <w:rPr>
                <w:rFonts w:hint="eastAsia" w:ascii="宋体" w:hAnsi="宋体" w:eastAsia="宋体" w:cs="Times New Roman"/>
                <w:b/>
                <w:color w:val="auto"/>
                <w:kern w:val="2"/>
                <w:sz w:val="21"/>
                <w:szCs w:val="21"/>
                <w:highlight w:val="none"/>
              </w:rPr>
            </w:pPr>
            <w:r>
              <w:rPr>
                <w:rFonts w:hint="eastAsia" w:ascii="宋体" w:hAnsi="宋体" w:eastAsia="宋体" w:cs="Times New Roman"/>
                <w:b/>
                <w:color w:val="auto"/>
                <w:kern w:val="2"/>
                <w:sz w:val="21"/>
                <w:szCs w:val="21"/>
                <w:highlight w:val="none"/>
              </w:rPr>
              <w:t>、绿化部分：</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苗木胸径测量高度按离地1.2m考虑，地径测量高度按离地0.</w:t>
            </w:r>
            <w:r>
              <w:rPr>
                <w:rFonts w:hint="eastAsia" w:ascii="宋体" w:hAnsi="宋体" w:eastAsia="宋体" w:cs="Times New Roman"/>
                <w:color w:val="auto"/>
                <w:kern w:val="2"/>
                <w:sz w:val="21"/>
                <w:szCs w:val="21"/>
                <w:highlight w:val="none"/>
                <w:lang w:val="en-US" w:eastAsia="zh-CN"/>
              </w:rPr>
              <w:t>2</w:t>
            </w:r>
            <w:r>
              <w:rPr>
                <w:rFonts w:hint="eastAsia" w:ascii="宋体" w:hAnsi="宋体" w:eastAsia="宋体" w:cs="Times New Roman"/>
                <w:color w:val="auto"/>
                <w:kern w:val="2"/>
                <w:sz w:val="21"/>
                <w:szCs w:val="21"/>
                <w:highlight w:val="none"/>
              </w:rPr>
              <w:t>m处考虑。</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eastAsia="zh-CN"/>
              </w:rPr>
              <w:t>造型罗汉松暂按</w:t>
            </w:r>
            <w:r>
              <w:rPr>
                <w:rFonts w:hint="eastAsia" w:ascii="宋体" w:hAnsi="宋体" w:eastAsia="宋体" w:cs="Times New Roman"/>
                <w:color w:val="auto"/>
                <w:kern w:val="2"/>
                <w:sz w:val="21"/>
                <w:szCs w:val="21"/>
                <w:highlight w:val="none"/>
                <w:lang w:val="en-US" w:eastAsia="zh-CN"/>
              </w:rPr>
              <w:t>14000元/株（含税价）计入，造型由业主选定，结算时按业主和监理签证为准。</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本工程标底中黄泥</w:t>
            </w:r>
            <w:r>
              <w:rPr>
                <w:rFonts w:hint="eastAsia" w:ascii="宋体" w:hAnsi="宋体" w:eastAsia="宋体" w:cs="Times New Roman"/>
                <w:color w:val="auto"/>
                <w:kern w:val="2"/>
                <w:sz w:val="21"/>
                <w:szCs w:val="21"/>
                <w:highlight w:val="none"/>
                <w:lang w:eastAsia="zh-CN"/>
              </w:rPr>
              <w:t>按</w:t>
            </w:r>
            <w:r>
              <w:rPr>
                <w:rFonts w:hint="eastAsia" w:ascii="宋体" w:hAnsi="宋体" w:eastAsia="宋体" w:cs="Times New Roman"/>
                <w:color w:val="auto"/>
                <w:kern w:val="2"/>
                <w:sz w:val="21"/>
                <w:szCs w:val="21"/>
                <w:highlight w:val="none"/>
              </w:rPr>
              <w:t>15cm考虑，按综合价45元/m3计入；</w:t>
            </w:r>
            <w:r>
              <w:rPr>
                <w:rFonts w:hint="eastAsia" w:ascii="宋体" w:hAnsi="宋体" w:eastAsia="宋体" w:cs="Times New Roman"/>
                <w:color w:val="auto"/>
                <w:kern w:val="2"/>
                <w:sz w:val="21"/>
                <w:szCs w:val="21"/>
                <w:highlight w:val="none"/>
                <w:lang w:eastAsia="zh-CN"/>
              </w:rPr>
              <w:t>黑土回填优先考虑场内平衡。</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苗木价格有信息价的按信息价，无信息价的按市场采价，苗木单列价已包括苗木供应价、种植费、定额损耗等各种损耗及运输费、采保费、管理费、利润、规费、税金、缺损修复、成活风险费、养护、乔木支撑围护费、种植穴土方没有达到浙江省园林树木种植规程的要求时无条件换土以及招标文件中关于苗木种植要求所产生的一切相关费用等所有因素。</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绿化养护期为二年。</w:t>
            </w:r>
          </w:p>
          <w:p>
            <w:pPr>
              <w:numPr>
                <w:ilvl w:val="0"/>
                <w:numId w:val="50"/>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eastAsia="zh-CN"/>
              </w:rPr>
              <w:t>苗木数量按施工图苗木表计入控制价。</w:t>
            </w:r>
          </w:p>
          <w:p>
            <w:pPr>
              <w:numPr>
                <w:ilvl w:val="0"/>
                <w:numId w:val="49"/>
              </w:numPr>
              <w:tabs>
                <w:tab w:val="left" w:pos="-168"/>
                <w:tab w:val="left" w:pos="360"/>
                <w:tab w:val="left" w:pos="780"/>
              </w:tabs>
              <w:autoSpaceDE/>
              <w:autoSpaceDN/>
              <w:adjustRightInd/>
              <w:spacing w:line="360" w:lineRule="auto"/>
              <w:jc w:val="both"/>
              <w:rPr>
                <w:rFonts w:hint="eastAsia" w:ascii="宋体" w:hAnsi="宋体" w:eastAsia="宋体" w:cs="Times New Roman"/>
                <w:b/>
                <w:color w:val="auto"/>
                <w:kern w:val="2"/>
                <w:sz w:val="21"/>
                <w:szCs w:val="21"/>
                <w:highlight w:val="none"/>
              </w:rPr>
            </w:pPr>
            <w:r>
              <w:rPr>
                <w:rFonts w:hint="eastAsia" w:ascii="宋体" w:hAnsi="宋体" w:eastAsia="宋体" w:cs="Times New Roman"/>
                <w:b/>
                <w:color w:val="auto"/>
                <w:kern w:val="2"/>
                <w:sz w:val="21"/>
                <w:szCs w:val="21"/>
                <w:highlight w:val="none"/>
              </w:rPr>
              <w:t>、</w:t>
            </w:r>
            <w:r>
              <w:rPr>
                <w:rFonts w:hint="eastAsia" w:ascii="宋体" w:hAnsi="宋体" w:eastAsia="宋体" w:cs="Times New Roman"/>
                <w:b/>
                <w:color w:val="auto"/>
                <w:kern w:val="2"/>
                <w:sz w:val="21"/>
                <w:szCs w:val="21"/>
                <w:highlight w:val="none"/>
                <w:lang w:val="en-US" w:eastAsia="zh-CN"/>
              </w:rPr>
              <w:t>排水</w:t>
            </w:r>
            <w:r>
              <w:rPr>
                <w:rFonts w:hint="eastAsia" w:ascii="宋体" w:hAnsi="宋体" w:eastAsia="宋体" w:cs="Times New Roman"/>
                <w:b/>
                <w:color w:val="auto"/>
                <w:kern w:val="2"/>
                <w:sz w:val="21"/>
                <w:szCs w:val="21"/>
                <w:highlight w:val="none"/>
              </w:rPr>
              <w:t>部分：</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rPr>
              <w:t>场地自然地坪标高为6.62m，湿土黄海标高为5.12-6.34m，场外排水部分干湿土按黄海平均标高5.73m为分界点编制，结算时该口径不做调整；</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雨水蓄水池、化粪池基坑开挖，考虑采用9米SP-Ⅳ型拉森钢板桩支护，按密打计入，双拼36b槽钢围檩四周一圈布置，拉森钢板桩租赁期综合考虑，结算不做调整；</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钢套管采用普通焊接钢管，经与设计沟通按如下原则计入控制价：DN200的管道采用DN300*6mm钢套管，DN300的管道采用DN400*6mm钢套管，DN400的管道采用DN500*7mm钢套管，DN500的管道采用DN600*8mm钢套管，DN600的管道采用DN700*8mm钢套管；</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水泥按散装水泥考虑，水泥砂浆按预拌砂浆计入，中粗砂包管按机制砂考虑；</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砼按设计同标号商品砼计入，是否泵送由投标单位自行考虑，结算时不做调整；</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新建水渠工程量暂按250m考虑。水渠施工涉及的构筑物拆除等费用按以料抵工考虑，请投标单位在报价时综合考虑该因素。</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水渠重建涉及的人行道修复暂按10cm碎石垫层+30cm塘渣+15cmC20垫层（20米设置一道2cm伸缩缝）+4cmM10.0干混砌筑砂浆砌筑6cm透水砖+4cmM10.0干混砌筑砂浆砌筑6cm透水盲道砖考虑；</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rPr>
              <w:t>树池侧石修复暂按150*10*20cm芝麻灰花岗岩侧石，C15细石混凝土靠背，侧石利用率为70%，利用率结算时不做调整；</w:t>
            </w:r>
          </w:p>
          <w:p>
            <w:pPr>
              <w:numPr>
                <w:ilvl w:val="0"/>
                <w:numId w:val="51"/>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下凹绿地种植土回填利用场内土方，按综合价12元/m3计入，包括挖、装、运、卸、回填、夯实等所有工作内容。</w:t>
            </w:r>
          </w:p>
          <w:p>
            <w:pPr>
              <w:pStyle w:val="34"/>
              <w:numPr>
                <w:ilvl w:val="0"/>
                <w:numId w:val="48"/>
              </w:numPr>
              <w:spacing w:line="360" w:lineRule="auto"/>
              <w:ind w:firstLine="207" w:firstLineChars="98"/>
              <w:rPr>
                <w:rFonts w:hint="eastAsia" w:ascii="宋体" w:hAnsi="宋体" w:eastAsia="宋体" w:cs="Times New Roman"/>
                <w:b/>
                <w:color w:val="auto"/>
                <w:szCs w:val="21"/>
              </w:rPr>
            </w:pPr>
            <w:r>
              <w:rPr>
                <w:rFonts w:hint="eastAsia" w:ascii="宋体" w:hAnsi="宋体" w:eastAsia="宋体" w:cs="Times New Roman"/>
                <w:b/>
                <w:color w:val="auto"/>
                <w:szCs w:val="21"/>
              </w:rPr>
              <w:t>安装部分：</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室内外给水管道以建筑物外墙皮1.5米为界，入口处设有阀门的以阀门为界；雨水管、污水管算至外墙皮1.5米处。</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人防给水预埋管敷设到位，水箱水泵及油箱等设备不计入。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经询设计回复,消防泵房系统图与平面图不符，以平面图为准。</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经询设计回复,电站内油管采用热镀锌无缝钢管，焊接。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经询设计回复, 场外生活给水砂垫层基础100mm厚计入。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经询设计回复, 场外水井部分连通管按De50计入，排水管与溢流管按De110计入。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经询设计回复, 地下室至6层消火栓按SNW65-Ⅲ型减压稳压单栓消火栓计入。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住户洁具按图纸布置到位，所有卫生洁具为整套提供均含辅、配件。</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水表远传计量信号立管按PVC40计入。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所有需做防火封堵的部位都必须做好防火封堵。工程量按一项计入（包含地上、地下所有部分）结算不再调整。具体施工按相关规范实施（其价格包括，防火隔板、防火包、有机防火泥及安装费等，施工方在报价时综合考虑）。</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CO浓度控制系统配管按钢管SC20计入。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电气部分：公变部分从公变配电房到每户总配电箱后出线算起，公变配电房内的电气内容不在本次预算内，公变配电房内的电缆暂按每回路预留30M考虑计入标底，结算时按实调整。</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消防火灾报警联动控制系统：室内部分各单体及地下室均从10#楼消控室按图纸布置计入标底，其中-1层（夹层）管线、设备均计入单体。本工程消控室设置在10#楼，消控室内的控制电缆按每回路预留15m考虑计入标底，结算时按实调整。</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经设计回复，地下室火灾报警系统支线回路管线信号参数按照系统图为准。</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本项目抗震支架中包含管路综合系统深化设计费及抗震支架布点设计、安装、力学荷载计算、材料供应及现场指导售后服务等全部费用。</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部分材料推荐品牌详见主要材料（设备）品牌选用表，投标人可根据自身情况在招标人推荐品牌中任选一个品牌报价，所选品牌的型号、规格和各项技术参数性能必须严格按照设计图纸的要求及有关规范的要求选择，并满足业主的使用要求，并在实际施工中实施，结算单价不做调整。</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智能化相应的配管、桥架均由智能化单位施工。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视频监控系统、可视对讲系统、停车管理系统、防雷接地系统、UPS系统、电子巡更系统、入侵报警系统、背景音乐系统、综合管网等系统按图纸计算；有线电视系统、光纤入户系统不计入。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UPS供电系统系统图与机房内系统图线型不一致，暂按机房内系统图计入。</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地下室人防部分发电机组不计在本次预算内。</w:t>
            </w:r>
          </w:p>
          <w:p>
            <w:pPr>
              <w:numPr>
                <w:ilvl w:val="0"/>
                <w:numId w:val="52"/>
              </w:numPr>
              <w:autoSpaceDE/>
              <w:autoSpaceDN/>
              <w:adjustRightInd/>
              <w:spacing w:line="360" w:lineRule="auto"/>
              <w:ind w:left="0" w:leftChars="0" w:firstLine="284" w:firstLineChars="0"/>
              <w:jc w:val="both"/>
              <w:rPr>
                <w:rFonts w:hint="eastAsia"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室内精装修部分油烟机和燃气灶不在本次预算内。</w:t>
            </w:r>
          </w:p>
          <w:p>
            <w:pPr>
              <w:tabs>
                <w:tab w:val="left" w:pos="-168"/>
                <w:tab w:val="left" w:pos="360"/>
                <w:tab w:val="left" w:pos="780"/>
              </w:tabs>
              <w:autoSpaceDE/>
              <w:autoSpaceDN/>
              <w:adjustRightInd/>
              <w:spacing w:line="360" w:lineRule="auto"/>
              <w:jc w:val="both"/>
              <w:rPr>
                <w:rFonts w:hint="eastAsia" w:ascii="宋体" w:hAnsi="宋体" w:eastAsia="宋体" w:cs="Times New Roman"/>
                <w:bCs/>
                <w:kern w:val="2"/>
                <w:sz w:val="21"/>
                <w:szCs w:val="21"/>
              </w:rPr>
            </w:pPr>
          </w:p>
          <w:p>
            <w:pPr>
              <w:pStyle w:val="34"/>
              <w:numPr>
                <w:ilvl w:val="0"/>
                <w:numId w:val="48"/>
              </w:numPr>
              <w:spacing w:line="360" w:lineRule="auto"/>
              <w:ind w:firstLine="207" w:firstLineChars="98"/>
              <w:rPr>
                <w:rFonts w:hint="eastAsia" w:ascii="宋体" w:hAnsi="宋体" w:eastAsia="宋体" w:cs="Times New Roman"/>
                <w:b/>
                <w:color w:val="000000"/>
                <w:sz w:val="24"/>
                <w:szCs w:val="24"/>
              </w:rPr>
            </w:pPr>
            <w:r>
              <w:rPr>
                <w:rFonts w:hint="eastAsia" w:ascii="宋体" w:hAnsi="宋体" w:eastAsia="宋体" w:cs="Times New Roman"/>
                <w:b/>
                <w:szCs w:val="21"/>
              </w:rPr>
              <w:t>招标人标底的复核及调整：</w:t>
            </w:r>
            <w:r>
              <w:rPr>
                <w:rFonts w:ascii="宋体" w:hAnsi="宋体" w:eastAsia="宋体" w:cs="Times New Roman"/>
                <w:b/>
                <w:color w:val="000000"/>
                <w:sz w:val="24"/>
              </w:rPr>
              <w:tab/>
            </w:r>
          </w:p>
          <w:p>
            <w:pPr>
              <w:autoSpaceDE/>
              <w:autoSpaceDN/>
              <w:adjustRightInd/>
              <w:spacing w:line="360" w:lineRule="auto"/>
              <w:ind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rPr>
              <w:t>投标人应对招标人提供的标底进行复核，如标底中存在除工程量清单项目漏项、项目多列或重复列项、清单项目工程量有误以外的定额错套、信息价输入差错、清单组合子目缺漏及清单组合子目工程量有误等错误的，应在招标答疑时提出，经招标人确认后，在答疑纪要中明确并调整，如不提出，今后不予调整。工程量清单所列的工程量暂定(</w:t>
            </w:r>
            <w:r>
              <w:rPr>
                <w:rFonts w:ascii="Times New Roman" w:hAnsi="Times New Roman" w:eastAsia="宋体" w:cs="Times New Roman"/>
                <w:kern w:val="2"/>
                <w:sz w:val="21"/>
                <w:szCs w:val="21"/>
              </w:rPr>
              <w:t>明细内容中已写明一次性包干的工程量除外</w:t>
            </w:r>
            <w:r>
              <w:rPr>
                <w:rFonts w:hint="eastAsia" w:ascii="宋体" w:hAnsi="宋体" w:eastAsia="宋体" w:cs="Times New Roman"/>
                <w:kern w:val="2"/>
                <w:sz w:val="21"/>
                <w:szCs w:val="21"/>
              </w:rPr>
              <w:t>)，竣工结算时按实结算确定。</w:t>
            </w:r>
          </w:p>
          <w:p>
            <w:pPr>
              <w:rPr>
                <w:color w:val="auto"/>
                <w:sz w:val="21"/>
                <w:szCs w:val="21"/>
                <w:highlight w:val="none"/>
              </w:rPr>
            </w:pPr>
          </w:p>
        </w:tc>
      </w:tr>
    </w:tbl>
    <w:p>
      <w:pPr>
        <w:pStyle w:val="10"/>
        <w:kinsoku w:val="0"/>
        <w:ind w:left="0"/>
        <w:jc w:val="center"/>
        <w:rPr>
          <w:rFonts w:ascii="Microsoft JhengHei" w:eastAsia="等线"/>
          <w:b/>
          <w:bCs/>
          <w:color w:val="auto"/>
          <w:sz w:val="20"/>
          <w:szCs w:val="20"/>
          <w:highlight w:val="none"/>
        </w:rPr>
      </w:pPr>
    </w:p>
    <w:p>
      <w:pPr>
        <w:pStyle w:val="3"/>
        <w:rPr>
          <w:b/>
          <w:bCs w:val="0"/>
          <w:color w:val="auto"/>
          <w:highlight w:val="none"/>
        </w:rPr>
      </w:pPr>
      <w:r>
        <w:rPr>
          <w:b/>
          <w:bCs w:val="0"/>
          <w:color w:val="auto"/>
          <w:highlight w:val="none"/>
        </w:rPr>
        <w:br w:type="page"/>
      </w:r>
      <w:bookmarkStart w:id="712" w:name="_Toc67589038"/>
      <w:bookmarkEnd w:id="712"/>
      <w:bookmarkStart w:id="713" w:name="_Toc45697246"/>
      <w:bookmarkEnd w:id="713"/>
    </w:p>
    <w:p>
      <w:pPr>
        <w:pStyle w:val="3"/>
        <w:rPr>
          <w:b/>
          <w:color w:val="auto"/>
          <w:highlight w:val="none"/>
          <w:u w:val="single"/>
        </w:rPr>
      </w:pPr>
      <w:r>
        <w:rPr>
          <w:rFonts w:hint="eastAsia" w:ascii="黑体" w:hAnsi="黑体"/>
          <w:b/>
          <w:color w:val="auto"/>
          <w:highlight w:val="none"/>
          <w:u w:val="single"/>
        </w:rPr>
        <w:t>第六章图纸</w:t>
      </w:r>
    </w:p>
    <w:p>
      <w:pPr>
        <w:spacing w:line="360" w:lineRule="auto"/>
        <w:ind w:left="1290"/>
        <w:rPr>
          <w:rFonts w:ascii="宋体" w:hAnsi="宋体"/>
          <w:color w:val="auto"/>
          <w:sz w:val="28"/>
          <w:szCs w:val="28"/>
          <w:highlight w:val="none"/>
        </w:rPr>
      </w:pPr>
      <w:r>
        <w:rPr>
          <w:rFonts w:hint="eastAsia" w:ascii="宋体" w:hAnsi="宋体"/>
          <w:b/>
          <w:bCs/>
          <w:color w:val="auto"/>
          <w:sz w:val="28"/>
          <w:szCs w:val="28"/>
          <w:highlight w:val="none"/>
          <w:u w:val="single"/>
        </w:rPr>
        <w:t>另附。</w:t>
      </w:r>
      <w:r>
        <w:rPr>
          <w:rFonts w:hint="eastAsia" w:ascii="宋体" w:hAnsi="宋体"/>
          <w:color w:val="auto"/>
          <w:sz w:val="28"/>
          <w:szCs w:val="28"/>
          <w:highlight w:val="none"/>
        </w:rPr>
        <w:t>（内容由招标人提供）</w:t>
      </w:r>
    </w:p>
    <w:p>
      <w:pPr>
        <w:pStyle w:val="15"/>
        <w:spacing w:line="440" w:lineRule="exact"/>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p>
    <w:p>
      <w:pPr>
        <w:pStyle w:val="15"/>
        <w:spacing w:line="440" w:lineRule="exact"/>
        <w:jc w:val="center"/>
        <w:rPr>
          <w:rFonts w:hAnsi="宋体"/>
          <w:color w:val="auto"/>
          <w:sz w:val="24"/>
          <w:szCs w:val="24"/>
          <w:highlight w:val="none"/>
        </w:rPr>
      </w:pPr>
      <w:r>
        <w:rPr>
          <w:rFonts w:hint="eastAsia" w:hAnsi="宋体"/>
          <w:color w:val="auto"/>
          <w:sz w:val="44"/>
          <w:szCs w:val="44"/>
          <w:highlight w:val="none"/>
        </w:rPr>
        <w:t>☑图纸清单（另附）</w:t>
      </w:r>
    </w:p>
    <w:p>
      <w:pPr>
        <w:pStyle w:val="15"/>
        <w:spacing w:line="440" w:lineRule="exact"/>
        <w:ind w:firstLine="480"/>
        <w:rPr>
          <w:rFonts w:hAnsi="宋体"/>
          <w:color w:val="auto"/>
          <w:sz w:val="24"/>
          <w:szCs w:val="24"/>
          <w:highlight w:val="none"/>
        </w:rPr>
      </w:pPr>
      <w:r>
        <w:rPr>
          <w:rFonts w:hint="eastAsia" w:hAnsi="宋体"/>
          <w:color w:val="auto"/>
          <w:sz w:val="24"/>
          <w:szCs w:val="24"/>
          <w:highlight w:val="none"/>
        </w:rPr>
        <w:t xml:space="preserve">设计人：                                       </w:t>
      </w:r>
      <w:bookmarkStart w:id="714" w:name="_Toc494121492"/>
      <w:bookmarkEnd w:id="714"/>
      <w:bookmarkStart w:id="715" w:name="_Toc494360706"/>
      <w:r>
        <w:rPr>
          <w:rFonts w:hint="eastAsia" w:hAnsi="宋体"/>
          <w:color w:val="auto"/>
          <w:sz w:val="24"/>
          <w:szCs w:val="24"/>
          <w:highlight w:val="none"/>
        </w:rPr>
        <w:t xml:space="preserve"> 第   页共   页</w:t>
      </w:r>
    </w:p>
    <w:tbl>
      <w:tblPr>
        <w:tblStyle w:val="18"/>
        <w:tblW w:w="91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529"/>
        <w:gridCol w:w="2860"/>
        <w:gridCol w:w="1411"/>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3"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序号</w:t>
            </w: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jc w:val="center"/>
              <w:rPr>
                <w:rFonts w:hAnsi="宋体"/>
                <w:color w:val="auto"/>
                <w:kern w:val="2"/>
                <w:sz w:val="21"/>
                <w:szCs w:val="21"/>
                <w:highlight w:val="none"/>
              </w:rPr>
            </w:pPr>
            <w:r>
              <w:rPr>
                <w:rFonts w:hint="eastAsia" w:hAnsi="宋体"/>
                <w:color w:val="auto"/>
                <w:kern w:val="2"/>
                <w:sz w:val="21"/>
                <w:szCs w:val="21"/>
                <w:highlight w:val="none"/>
              </w:rPr>
              <w:t>图号</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jc w:val="center"/>
              <w:rPr>
                <w:rFonts w:hAnsi="宋体"/>
                <w:color w:val="auto"/>
                <w:kern w:val="2"/>
                <w:sz w:val="21"/>
                <w:szCs w:val="21"/>
                <w:highlight w:val="none"/>
              </w:rPr>
            </w:pPr>
            <w:r>
              <w:rPr>
                <w:rFonts w:hint="eastAsia" w:hAnsi="宋体"/>
                <w:color w:val="auto"/>
                <w:kern w:val="2"/>
                <w:sz w:val="21"/>
                <w:szCs w:val="21"/>
                <w:highlight w:val="none"/>
              </w:rPr>
              <w:t>图纸名称</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jc w:val="center"/>
              <w:rPr>
                <w:rFonts w:hAnsi="宋体"/>
                <w:color w:val="auto"/>
                <w:kern w:val="2"/>
                <w:sz w:val="21"/>
                <w:szCs w:val="21"/>
                <w:highlight w:val="none"/>
              </w:rPr>
            </w:pPr>
            <w:r>
              <w:rPr>
                <w:rFonts w:hint="eastAsia" w:hAnsi="宋体"/>
                <w:color w:val="auto"/>
                <w:kern w:val="2"/>
                <w:sz w:val="21"/>
                <w:szCs w:val="21"/>
                <w:highlight w:val="none"/>
              </w:rPr>
              <w:t>日期</w:t>
            </w:r>
          </w:p>
        </w:tc>
        <w:tc>
          <w:tcPr>
            <w:tcW w:w="1556" w:type="dxa"/>
            <w:tcBorders>
              <w:top w:val="single" w:color="auto" w:sz="4" w:space="0"/>
              <w:left w:val="nil"/>
              <w:bottom w:val="single" w:color="auto" w:sz="4" w:space="0"/>
              <w:right w:val="single" w:color="auto" w:sz="4" w:space="0"/>
            </w:tcBorders>
            <w:noWrap/>
          </w:tcPr>
          <w:p>
            <w:pPr>
              <w:pStyle w:val="15"/>
              <w:spacing w:line="440" w:lineRule="exact"/>
              <w:jc w:val="center"/>
              <w:rPr>
                <w:rFonts w:hAnsi="宋体"/>
                <w:color w:val="auto"/>
                <w:kern w:val="2"/>
                <w:sz w:val="24"/>
                <w:szCs w:val="24"/>
                <w:highlight w:val="none"/>
              </w:rPr>
            </w:pPr>
            <w:r>
              <w:rPr>
                <w:rFonts w:hint="eastAsia" w:hAnsi="宋体"/>
                <w:color w:val="auto"/>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建施01-0</w:t>
            </w:r>
            <w:r>
              <w:rPr>
                <w:rFonts w:hAnsi="宋体"/>
                <w:color w:val="auto"/>
                <w:kern w:val="2"/>
                <w:sz w:val="21"/>
                <w:szCs w:val="21"/>
                <w:highlight w:val="none"/>
              </w:rPr>
              <w:t>8</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建筑说明及通用图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建施01-26</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绿色建筑专篇</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2.11.9</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建施01-2</w:t>
            </w:r>
            <w:r>
              <w:rPr>
                <w:rFonts w:hAnsi="宋体"/>
                <w:bCs/>
                <w:color w:val="auto"/>
                <w:sz w:val="21"/>
                <w:szCs w:val="21"/>
                <w:highlight w:val="none"/>
              </w:rPr>
              <w:t>7</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1#楼建筑施工图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建施01-2</w:t>
            </w:r>
            <w:r>
              <w:rPr>
                <w:rFonts w:hAnsi="宋体"/>
                <w:bCs/>
                <w:color w:val="auto"/>
                <w:sz w:val="21"/>
                <w:szCs w:val="21"/>
                <w:highlight w:val="none"/>
              </w:rPr>
              <w:t>8</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2#楼建筑施工图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023.4.18</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w:t>
            </w:r>
            <w:r>
              <w:rPr>
                <w:rFonts w:hAnsi="宋体"/>
                <w:bCs/>
                <w:color w:val="auto"/>
                <w:sz w:val="21"/>
                <w:szCs w:val="21"/>
                <w:highlight w:val="none"/>
              </w:rPr>
              <w:t>09</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3#~6#楼建筑说明及通用图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w:t>
            </w:r>
            <w:r>
              <w:rPr>
                <w:rFonts w:hAnsi="宋体"/>
                <w:bCs/>
                <w:color w:val="auto"/>
                <w:sz w:val="21"/>
                <w:szCs w:val="21"/>
                <w:highlight w:val="none"/>
              </w:rPr>
              <w:t>16</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3#楼建筑施工图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w:t>
            </w:r>
            <w:r>
              <w:rPr>
                <w:rFonts w:hAnsi="宋体"/>
                <w:bCs/>
                <w:color w:val="auto"/>
                <w:sz w:val="21"/>
                <w:szCs w:val="21"/>
                <w:highlight w:val="none"/>
              </w:rPr>
              <w:t>17</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4#楼建筑施工图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w:t>
            </w:r>
            <w:r>
              <w:rPr>
                <w:rFonts w:hAnsi="宋体"/>
                <w:bCs/>
                <w:color w:val="auto"/>
                <w:sz w:val="21"/>
                <w:szCs w:val="21"/>
                <w:highlight w:val="none"/>
              </w:rPr>
              <w:t>23</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5#6#楼建筑施工图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w:t>
            </w:r>
            <w:r>
              <w:rPr>
                <w:rFonts w:hAnsi="宋体"/>
                <w:bCs/>
                <w:color w:val="auto"/>
                <w:sz w:val="21"/>
                <w:szCs w:val="21"/>
                <w:highlight w:val="none"/>
              </w:rPr>
              <w:t>23</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地下室建筑施工图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建施01-</w:t>
            </w:r>
            <w:r>
              <w:rPr>
                <w:rFonts w:hAnsi="宋体"/>
                <w:bCs/>
                <w:color w:val="auto"/>
                <w:sz w:val="21"/>
                <w:szCs w:val="21"/>
                <w:highlight w:val="none"/>
              </w:rPr>
              <w:t>09</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地下室人防建筑施工图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结施通01</w:t>
            </w:r>
            <w:r>
              <w:rPr>
                <w:rFonts w:hAnsi="宋体"/>
                <w:bCs/>
                <w:color w:val="auto"/>
                <w:sz w:val="21"/>
                <w:szCs w:val="21"/>
                <w:highlight w:val="none"/>
              </w:rPr>
              <w:t>-</w:t>
            </w:r>
            <w:r>
              <w:rPr>
                <w:rFonts w:hint="eastAsia" w:hAnsi="宋体"/>
                <w:bCs/>
                <w:color w:val="auto"/>
                <w:sz w:val="21"/>
                <w:szCs w:val="21"/>
                <w:highlight w:val="none"/>
              </w:rPr>
              <w:t>14</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结构说明及通用图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结施01</w:t>
            </w:r>
            <w:r>
              <w:rPr>
                <w:rFonts w:hAnsi="宋体"/>
                <w:bCs/>
                <w:color w:val="auto"/>
                <w:sz w:val="21"/>
                <w:szCs w:val="21"/>
                <w:highlight w:val="none"/>
              </w:rPr>
              <w:t>-49</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1#楼结构施工图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结施01</w:t>
            </w:r>
            <w:r>
              <w:rPr>
                <w:rFonts w:hAnsi="宋体"/>
                <w:bCs/>
                <w:color w:val="auto"/>
                <w:sz w:val="21"/>
                <w:szCs w:val="21"/>
                <w:highlight w:val="none"/>
              </w:rPr>
              <w:t>-22</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2#楼结构施工图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tcBorders>
              <w:top w:val="single" w:color="auto" w:sz="4" w:space="0"/>
              <w:left w:val="single" w:color="auto" w:sz="4" w:space="0"/>
              <w:bottom w:val="single" w:color="auto" w:sz="4" w:space="0"/>
              <w:right w:val="single" w:color="auto" w:sz="4" w:space="0"/>
            </w:tcBorders>
            <w:noWrap/>
            <w:vAlign w:val="center"/>
          </w:tcPr>
          <w:p>
            <w:pPr>
              <w:pStyle w:val="15"/>
              <w:numPr>
                <w:ilvl w:val="0"/>
                <w:numId w:val="53"/>
              </w:numPr>
              <w:spacing w:line="440" w:lineRule="exact"/>
              <w:rPr>
                <w:rFonts w:hAnsi="宋体"/>
                <w:color w:val="auto"/>
                <w:kern w:val="2"/>
                <w:sz w:val="21"/>
                <w:szCs w:val="21"/>
                <w:highlight w:val="none"/>
              </w:rPr>
            </w:pPr>
          </w:p>
        </w:tc>
        <w:tc>
          <w:tcPr>
            <w:tcW w:w="1529"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结施01</w:t>
            </w:r>
            <w:r>
              <w:rPr>
                <w:rFonts w:hAnsi="宋体"/>
                <w:bCs/>
                <w:color w:val="auto"/>
                <w:sz w:val="21"/>
                <w:szCs w:val="21"/>
                <w:highlight w:val="none"/>
              </w:rPr>
              <w:t>-51</w:t>
            </w:r>
          </w:p>
        </w:tc>
        <w:tc>
          <w:tcPr>
            <w:tcW w:w="2860"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3#楼结构施工图</w:t>
            </w:r>
          </w:p>
        </w:tc>
        <w:tc>
          <w:tcPr>
            <w:tcW w:w="1411" w:type="dxa"/>
            <w:tcBorders>
              <w:top w:val="single" w:color="auto" w:sz="4" w:space="0"/>
              <w:left w:val="nil"/>
              <w:bottom w:val="single" w:color="auto" w:sz="4" w:space="0"/>
              <w:right w:val="single" w:color="auto" w:sz="4" w:space="0"/>
            </w:tcBorders>
            <w:noWrap/>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结施01</w:t>
            </w:r>
            <w:r>
              <w:rPr>
                <w:rFonts w:hAnsi="宋体"/>
                <w:bCs/>
                <w:color w:val="auto"/>
                <w:sz w:val="21"/>
                <w:szCs w:val="21"/>
                <w:highlight w:val="none"/>
              </w:rPr>
              <w:t>-41</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4#楼结构施工图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结施01</w:t>
            </w:r>
            <w:r>
              <w:rPr>
                <w:rFonts w:hAnsi="宋体"/>
                <w:bCs/>
                <w:color w:val="auto"/>
                <w:sz w:val="21"/>
                <w:szCs w:val="21"/>
                <w:highlight w:val="none"/>
              </w:rPr>
              <w:t>-62</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5#6#楼结构施工图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结施01</w:t>
            </w:r>
            <w:r>
              <w:rPr>
                <w:rFonts w:hAnsi="宋体"/>
                <w:bCs/>
                <w:color w:val="auto"/>
                <w:sz w:val="21"/>
                <w:szCs w:val="21"/>
                <w:highlight w:val="none"/>
              </w:rPr>
              <w:t>-49</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地下室结构施工图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结施01</w:t>
            </w:r>
            <w:r>
              <w:rPr>
                <w:rFonts w:hAnsi="宋体"/>
                <w:bCs/>
                <w:color w:val="auto"/>
                <w:sz w:val="21"/>
                <w:szCs w:val="21"/>
                <w:highlight w:val="none"/>
              </w:rPr>
              <w:t>-13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地下人防结构施工图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SM-01~03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幕墙设计说明</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ZPT-01</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总平面图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DY01~05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1#楼幕墙大样图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LM01~04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1#楼幕墙立面图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MJ01~10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1#楼幕墙埋件图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DY01~06</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2#楼幕墙大样图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JD01~25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2#楼幕墙节点图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LM01~09</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2#楼幕墙立面图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MJ01~04a</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2#楼幕墙埋件图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PM01~7</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2#楼幕墙平面图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DY01~04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3#楼幕墙大样图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JD01~25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3#楼幕墙节点图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LM01~03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3#楼幕墙立面图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MJ01~24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3#楼幕墙埋件图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PM01~13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3#楼幕墙平面图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DY01~09</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4#楼幕墙大样图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JD01~25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4#楼幕墙节点图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LM01~04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4#楼幕墙立面图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MJ01~10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4#楼幕墙埋件图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PM01~10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4#楼幕墙平面图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DY01~06</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5#6#楼幕墙大样图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JD01~25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#6#楼幕墙节点图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LM01~05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5#6#楼幕墙立面图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MJ01~34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5#6#楼幕墙埋件图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PM01~14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5#6#楼幕墙平面图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023.5.10</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SM02~10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装饰设计说明及材料汇总表</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023.5.18</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SM</w:t>
            </w:r>
            <w:r>
              <w:rPr>
                <w:rFonts w:hAnsi="宋体"/>
                <w:bCs/>
                <w:color w:val="auto"/>
                <w:sz w:val="21"/>
                <w:szCs w:val="21"/>
                <w:highlight w:val="none"/>
              </w:rPr>
              <w:t>11</w:t>
            </w:r>
            <w:r>
              <w:rPr>
                <w:rFonts w:hint="eastAsia" w:hAnsi="宋体"/>
                <w:bCs/>
                <w:color w:val="auto"/>
                <w:sz w:val="21"/>
                <w:szCs w:val="21"/>
                <w:highlight w:val="none"/>
              </w:rPr>
              <w:t>~48</w:t>
            </w:r>
          </w:p>
        </w:tc>
        <w:tc>
          <w:tcPr>
            <w:tcW w:w="2860"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装饰施工图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023.5.18</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电施01~03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电气施工总图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电施01~48</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电气说明及干线系统图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电施01~02</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电气绿色建筑专篇</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电施01~54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地下室电气施工图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电施01~30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1#楼电气施工图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w:t>
            </w:r>
            <w:r>
              <w:rPr>
                <w:rFonts w:hAnsi="宋体"/>
                <w:bCs/>
                <w:color w:val="auto"/>
                <w:sz w:val="21"/>
                <w:szCs w:val="21"/>
                <w:highlight w:val="none"/>
              </w:rPr>
              <w:t>22</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2#楼电气施工图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电施01~30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3#楼电气施工图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w:t>
            </w:r>
            <w:r>
              <w:rPr>
                <w:rFonts w:hAnsi="宋体"/>
                <w:bCs/>
                <w:color w:val="auto"/>
                <w:sz w:val="21"/>
                <w:szCs w:val="21"/>
                <w:highlight w:val="none"/>
              </w:rPr>
              <w:t>28</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4#楼电气施工图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w:t>
            </w:r>
            <w:r>
              <w:rPr>
                <w:rFonts w:hAnsi="宋体"/>
                <w:bCs/>
                <w:color w:val="auto"/>
                <w:sz w:val="21"/>
                <w:szCs w:val="21"/>
                <w:highlight w:val="none"/>
              </w:rPr>
              <w:t>41</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5#6#楼电气施工图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电施01~</w:t>
            </w:r>
            <w:r>
              <w:rPr>
                <w:rFonts w:hAnsi="宋体"/>
                <w:bCs/>
                <w:color w:val="auto"/>
                <w:sz w:val="21"/>
                <w:szCs w:val="21"/>
                <w:highlight w:val="none"/>
              </w:rPr>
              <w:t>27</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地下人防电气施工图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照施001~119</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泛光照明施工图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水施01~12</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室外给排水总图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水施01~08</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说明及通用图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水施01~03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绿色与节能设计专篇</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水施01~23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地下室给排水施工图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水施01~27</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1#楼给排水施工图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水施01~10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2#楼给排水施工图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水施01~18</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3#楼给排水施工图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水施01~19</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4#楼给排水施工图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水施01~26</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5#6#楼给排水施工图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水施01~15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地下人防给排水施工图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设施01~16</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暖通说明及通用图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设施01~03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绿色建筑设计专篇</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设施01~07</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地下室暖通施工图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设施01~20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1#楼暖通施工图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设施01~16</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2#楼暖通施工图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设施01~11</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3#楼暖通施工图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设施01~10</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4#楼暖通施工图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设施01~13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5#6#楼暖通施工图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设施01~19</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地下人防通风施工图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2023.</w:t>
            </w:r>
            <w:r>
              <w:rPr>
                <w:rFonts w:hAnsi="宋体"/>
                <w:color w:val="auto"/>
                <w:kern w:val="2"/>
                <w:sz w:val="21"/>
                <w:szCs w:val="21"/>
                <w:highlight w:val="none"/>
              </w:rPr>
              <w:t>1</w:t>
            </w:r>
            <w:r>
              <w:rPr>
                <w:rFonts w:hint="eastAsia" w:hAnsi="宋体"/>
                <w:color w:val="auto"/>
                <w:kern w:val="2"/>
                <w:sz w:val="21"/>
                <w:szCs w:val="21"/>
                <w:highlight w:val="none"/>
              </w:rPr>
              <w:t>.</w:t>
            </w:r>
            <w:r>
              <w:rPr>
                <w:rFonts w:hAnsi="宋体"/>
                <w:color w:val="auto"/>
                <w:kern w:val="2"/>
                <w:sz w:val="21"/>
                <w:szCs w:val="21"/>
                <w:highlight w:val="none"/>
              </w:rPr>
              <w:t>3</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弱施01~07</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总图及设计说明</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2.12.1</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弱施01~21</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地下室智能化施工图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2.12.1</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弱施01~27</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1#楼智能化施工图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2.12.1</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弱施01~22</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2#楼智能化施工图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2.12.1</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弱施01~13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3#楼智能化施工图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2.12.1</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弱施01~13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4#楼智能化施工图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2.12.1</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弱施01~17</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5#6#楼智能化施工图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202</w:t>
            </w:r>
            <w:r>
              <w:rPr>
                <w:rFonts w:hAnsi="宋体"/>
                <w:color w:val="auto"/>
                <w:kern w:val="2"/>
                <w:sz w:val="21"/>
                <w:szCs w:val="21"/>
                <w:highlight w:val="none"/>
              </w:rPr>
              <w:t>2.12.1</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园施01~82</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园林及绿化施工图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023.1.18</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园结施01~14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园林结构图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023.1.18</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园水施01~04</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园林水施工图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023.1.18</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园电施01~13</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园林电施工图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023.1.18</w:t>
            </w:r>
          </w:p>
        </w:tc>
        <w:tc>
          <w:tcPr>
            <w:tcW w:w="1556" w:type="dxa"/>
          </w:tcPr>
          <w:p>
            <w:pPr>
              <w:pStyle w:val="15"/>
              <w:spacing w:line="440" w:lineRule="exact"/>
              <w:ind w:firstLine="480"/>
              <w:jc w:val="center"/>
              <w:rPr>
                <w:rFonts w:hAnsi="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pStyle w:val="15"/>
              <w:numPr>
                <w:ilvl w:val="0"/>
                <w:numId w:val="53"/>
              </w:numPr>
              <w:spacing w:line="440" w:lineRule="exact"/>
              <w:rPr>
                <w:rFonts w:hAnsi="宋体"/>
                <w:color w:val="auto"/>
                <w:kern w:val="2"/>
                <w:sz w:val="21"/>
                <w:szCs w:val="21"/>
                <w:highlight w:val="none"/>
              </w:rPr>
            </w:pPr>
          </w:p>
        </w:tc>
        <w:tc>
          <w:tcPr>
            <w:tcW w:w="1529"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水施01~25</w:t>
            </w:r>
          </w:p>
        </w:tc>
        <w:tc>
          <w:tcPr>
            <w:tcW w:w="2860" w:type="dxa"/>
            <w:vAlign w:val="center"/>
          </w:tcPr>
          <w:p>
            <w:pPr>
              <w:pStyle w:val="15"/>
              <w:spacing w:line="440" w:lineRule="exact"/>
              <w:rPr>
                <w:rFonts w:hAnsi="宋体"/>
                <w:color w:val="auto"/>
                <w:kern w:val="2"/>
                <w:sz w:val="21"/>
                <w:szCs w:val="21"/>
                <w:highlight w:val="none"/>
              </w:rPr>
            </w:pPr>
            <w:r>
              <w:rPr>
                <w:rFonts w:hint="eastAsia" w:hAnsi="宋体"/>
                <w:bCs/>
                <w:color w:val="auto"/>
                <w:sz w:val="21"/>
                <w:szCs w:val="21"/>
                <w:highlight w:val="none"/>
              </w:rPr>
              <w:t>海绵城市施工图</w:t>
            </w:r>
          </w:p>
        </w:tc>
        <w:tc>
          <w:tcPr>
            <w:tcW w:w="1411" w:type="dxa"/>
            <w:vAlign w:val="center"/>
          </w:tcPr>
          <w:p>
            <w:pPr>
              <w:pStyle w:val="15"/>
              <w:spacing w:line="440" w:lineRule="exact"/>
              <w:rPr>
                <w:rFonts w:hAnsi="宋体"/>
                <w:color w:val="auto"/>
                <w:kern w:val="2"/>
                <w:sz w:val="21"/>
                <w:szCs w:val="21"/>
                <w:highlight w:val="none"/>
              </w:rPr>
            </w:pPr>
            <w:r>
              <w:rPr>
                <w:rFonts w:hint="eastAsia" w:hAnsi="宋体"/>
                <w:color w:val="auto"/>
                <w:kern w:val="2"/>
                <w:sz w:val="21"/>
                <w:szCs w:val="21"/>
                <w:highlight w:val="none"/>
              </w:rPr>
              <w:t>2</w:t>
            </w:r>
            <w:r>
              <w:rPr>
                <w:rFonts w:hAnsi="宋体"/>
                <w:color w:val="auto"/>
                <w:kern w:val="2"/>
                <w:sz w:val="21"/>
                <w:szCs w:val="21"/>
                <w:highlight w:val="none"/>
              </w:rPr>
              <w:t>023.1.18</w:t>
            </w:r>
          </w:p>
        </w:tc>
        <w:tc>
          <w:tcPr>
            <w:tcW w:w="1556" w:type="dxa"/>
          </w:tcPr>
          <w:p>
            <w:pPr>
              <w:pStyle w:val="15"/>
              <w:spacing w:line="440" w:lineRule="exact"/>
              <w:ind w:firstLine="480"/>
              <w:jc w:val="center"/>
              <w:rPr>
                <w:rFonts w:hAnsi="宋体"/>
                <w:color w:val="auto"/>
                <w:kern w:val="2"/>
                <w:sz w:val="24"/>
                <w:szCs w:val="24"/>
                <w:highlight w:val="none"/>
              </w:rPr>
            </w:pPr>
          </w:p>
        </w:tc>
      </w:tr>
    </w:tbl>
    <w:p>
      <w:pPr>
        <w:pStyle w:val="15"/>
        <w:spacing w:line="440" w:lineRule="exact"/>
        <w:ind w:firstLine="480"/>
        <w:jc w:val="center"/>
        <w:rPr>
          <w:rFonts w:hAnsi="宋体"/>
          <w:color w:val="auto"/>
          <w:sz w:val="24"/>
          <w:szCs w:val="24"/>
          <w:highlight w:val="none"/>
        </w:rPr>
      </w:pPr>
    </w:p>
    <w:p>
      <w:pPr>
        <w:pStyle w:val="15"/>
        <w:numPr>
          <w:ilvl w:val="0"/>
          <w:numId w:val="54"/>
        </w:numPr>
        <w:spacing w:line="440" w:lineRule="exact"/>
        <w:jc w:val="center"/>
        <w:rPr>
          <w:rFonts w:ascii="Times New Roman" w:hAnsi="Times New Roman" w:eastAsia="黑体"/>
          <w:bCs/>
          <w:color w:val="auto"/>
          <w:kern w:val="44"/>
          <w:sz w:val="44"/>
          <w:szCs w:val="44"/>
          <w:highlight w:val="none"/>
        </w:rPr>
      </w:pPr>
      <w:r>
        <w:rPr>
          <w:rFonts w:hint="eastAsia" w:hAnsi="宋体"/>
          <w:color w:val="auto"/>
          <w:sz w:val="24"/>
          <w:szCs w:val="24"/>
          <w:highlight w:val="none"/>
        </w:rPr>
        <w:br w:type="page"/>
      </w:r>
      <w:r>
        <w:rPr>
          <w:rFonts w:hint="eastAsia" w:ascii="黑体" w:hAnsi="黑体" w:eastAsia="黑体"/>
          <w:bCs/>
          <w:color w:val="auto"/>
          <w:kern w:val="44"/>
          <w:sz w:val="44"/>
          <w:szCs w:val="44"/>
          <w:highlight w:val="none"/>
        </w:rPr>
        <w:t>技术标准和要求</w:t>
      </w:r>
      <w:bookmarkEnd w:id="715"/>
    </w:p>
    <w:p>
      <w:pPr>
        <w:spacing w:line="360" w:lineRule="auto"/>
        <w:ind w:left="1290"/>
        <w:rPr>
          <w:rFonts w:ascii="宋体" w:hAnsi="宋体"/>
          <w:color w:val="auto"/>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《建筑节能与可再生能源利用通用规范》GB 55015-2021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《建筑环境通用规范》GB 55016-2021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《建筑与市政工程无障碍通用规范》GB 55019-2021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《建筑与市政工程防水通用规范》GB 55030-2022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《民用建筑通用规范》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GB 55031-2022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《建筑与市政工程施工质量控制通用规范》GB 55032-2022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《建筑防火通用规范》GB 55037-2022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《宿舍、旅馆建筑项目规范》GB55025-2022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《建筑采光设计标准》GB 50033-2013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《建筑照明设计标准》GB 50034-2013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《建筑地面设计规范》GB 50037-2013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《建筑设计防火规范（2018年版）》GB 50016-2014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《汽车库、修车库、停车场设计防火规范》GB 50067-2014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《地下工程防水技术规范》GB 50108-2008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《旅馆建筑设计规范》JGJ62-2014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《民用建筑隔声设计规范》GB 50118-2010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《民用建筑热工设计规范》GB 50176-2016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节能设计标准》GB 50189-2021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《建筑内部装修设计防火规范》GB 50222-2017</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《屋面工程技术规范》GB 50345-2012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《民用建筑设计统一标准》GB 50352-2019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《无障碍设计规范》GB 50763-2012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《绿色建筑评价标准》GB/T 50378-2019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《装配式建筑评价标准》GB/T 51129-2017</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《城市停车规划规范》GB/T 51149-2016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《建筑外门窗气密、水密、抗风压性能检测方法》GB/T 7106-2019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《夏热冬冷地区居住建筑节能设计标准》JGJ 134-2010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《外墙外保温工程技术标准》JGJ 144-2019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《种植屋面工程技术规程》JGJ 155-2013；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《预拌砂浆应用技术规程》JGJ/T 223-2010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《建筑外墙防水工程技术规程》JGJ/T 235-2011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《外墙内保温工程技术规程》JGJ/T 261-2011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《建筑地面工程防滑技术规程》JGJ/T 331-2014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《浙江省消防技术规范难点问题操作技术指南》浙消〔2020〕166号</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《城市建筑工程停车场（库）设置规则和配建标准》DB 33/1021-2013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《太阳能与空气源热泵热水系统应用技术规程》DB 33/1034-2016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w:t>
      </w: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节能设计标准》DB 33/1036-2021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《城市建筑工程日照分析技术规程》DB 33/1050-2016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《绿色建筑设计标准》DB 33/1092-2021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《建筑太阳能光伏系统应用技术规程》DB 33/1106-2015</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《民用建筑电动汽车充电设施配置与设计规范》DB 33/1121-2016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《建设工程配建5G移动通信基础设施技术标准》DB 33/1239-2021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《建筑防水工程技术规程》DB 33/T 1147-2018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《建筑工程建筑面积计算和竣工综合测量技术规程》DB 33/T 1152-2018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《浙江省装配式建筑评价标准》DB 33/T 1165-2019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《民用建筑雨水控制与利用设计规程》DB 33/T 1167-2019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《浙江省装配式内装评价标准》DB 33/T 1259-2021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《绍兴市城乡规划管理技术规定》（2013年版）</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《地下防水工程质量验收规范》GB 50208-2011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《建筑地面工程施工质量验收规范》GB 50209-2010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《建筑装饰装修工程质量验收规范》GB 50210-2011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《屋面工程质量验收规范》GB 50207-2012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《建筑节能工程施工质量验收规范》GB 50411-2014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《砌体工程施工质量验收规范》GB 50203-2011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《建筑给水排水设计标准》 GB 50015-2019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《生活饮用水卫生标准》 GB 5749-2006 </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《室外给水设计标准》 GB 50013-2018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《室外排水设计标准》 GB 50014-2021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《城市给水工程项目规范》 GB55026-2022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《城乡排水工程项目规范》 GB55027-2022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《建筑给水排水与节水通用规范》 GB 55020-2021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《建筑节能与可再生能源利用通用规范》GB 55015-2021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《民用建筑节水设计标准》 GB 50555-2010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《建筑设计防火规范》 GB 50016-2014(2018年版）</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《消防设施通用规范》 GB 55036-2022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《消防给水及消火栓系统技术规范》 GB 50974-2014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《自动喷水灭火系统设计规范》GB 50084-2017</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《建筑灭火器配置设计规范》 GB 50140-2005</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《气体灭火系统设计规范》 GB 50370-2005</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《建筑与市政工程抗震通用规范》GB 55002-2021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《建筑机电工程抗震设计规范》GB 50981-2014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《民用建筑通用规范》 GB 55031-2022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《民用建筑设计统一标准》 GB 50352-2019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《城镇内涝防治技术规范》 GB 51222-2017</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《清水离心泵能效限定值及节能评价值》 GB 19762-2007</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《建筑与小区雨水控制及利用工程技术规范》 GB 50400-2016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《设备及管道绝热设计导则》 GB/T 8175-2008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《绿色建筑评价标准》 GB/T 50378-2019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节能设计标准》 GB 50189-2015</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《汽车库、修车库、停车场设计防火规范》 GB 50067-2014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《气体灭火系统设计规范》 GB 50370-2005</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《污水综合排放标准》 GB 8978-1996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《污水排入城镇下水道水质标准》 GB/T 31962-2015</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《湿陷性黄土地区建筑标准》 GB 50025-2018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《民用建筑雨水控制与利用设计规程》 DB 33/T 1167-2019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《民用建筑可再生能源应用核算标准》 DBJ 33/T 1105-2022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《绿色建筑设计标准》 DB 33/1092-2021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《办公建筑设计规范》 JGJ/T 67-2019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《旅馆建筑设计规范》 JGJ 62-2014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"http://servstd.zuadr.com:8081/scripts/pdf/generic/web/viewer.html?file=/assets/basicStandard/std_1459660.pdf" \t "_blank"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游泳池给水排水工程技术规程</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CJJ 122-2017</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《建筑屋面雨水排水系统技术规范》 CJJ 142-2014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《节水型生活用水器具》 CJ/T 164-2014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《二次供水工程技术规程》 CJJ 140-2010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《空气源热泵热水系统技术规程》T/CECS 985-2021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《太阳能与空气源热泵热水系统应用技术规程》DB33/1034-2016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《建筑排水塑料管道工程技术规程》 CJJ/T 29-2010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《浙江省绿色建筑条例》</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《浙江省消防技术规范难点问题操作技术指南》浙消(2020)166号</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《浙江省建设领域推广应用技术公告》</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《浙江省建设领域禁止和限制使用技术公告》 （浙建发〔2014〕284号）</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《建筑电气与智能化通用规范》 GB 55024-2022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《宿舍、旅馆建筑项目规范》 GB 55025-2022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《消防设施通用规范》GB55036-2022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《建筑防火通用规范》GB55037-2022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《建筑节能与可再生能源利用通用规范》GB55015-2021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《建筑环境通用规范》GB55016-2021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《建筑与市政工程抗震通用规范》 GB 55002-2021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《建筑与市政工程无障碍通用规范》GB55019-2021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《供配电系统设计规范》 GB50052-2009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《20kV及以下变电所设计规范》 GB50053-2013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《民用建筑电气设计标准》 GB51348-2019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《低压配电设计规范》 GB50054-2011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《通用用电设备配电设计规范》 GB50055-2011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《建筑照明设计标准》 GB50034-2013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《建筑物防雷设计规范》 GB50057-2010</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《建筑物电子信息系统防雷设计规范》 GB500343-2012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《建筑设计防火规范》 GB50016-2014（2018年版）</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《民用建筑设计统一标准》 GB50352-2019</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《电力工程电缆设计标准》 GB50217-2018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《建筑与市政工程抗震通用规范》 GB 55002-2021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《建筑机电工程抗震设计规范》 GB50981-2014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《汽车库、修车库、停车场设计防火规范》 GB50067-2014</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《消防应急照明和疏散指示系统技术规范》 GB51309-2018</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《绿色建筑设计标准》DB33/1092-2021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节能设计标准》DB33/1036-2021</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用电分项分区计量系统设计标准》 DBJ33/T1090-2023</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《民用建筑可再生能源应用核算标准》 DBJ33/T 1105-2022</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《民用建筑电动汽车充电设施配置与设计说明》 DB33/1121-2016</w:t>
      </w:r>
    </w:p>
    <w:p>
      <w:pPr>
        <w:keepNext w:val="0"/>
        <w:keepLines w:val="0"/>
        <w:pageBreakBefore w:val="0"/>
        <w:widowControl w:val="0"/>
        <w:kinsoku/>
        <w:wordWrap/>
        <w:overflowPunct/>
        <w:topLinePunct w:val="0"/>
        <w:autoSpaceDE w:val="0"/>
        <w:autoSpaceDN w:val="0"/>
        <w:bidi w:val="0"/>
        <w:adjustRightInd w:val="0"/>
        <w:snapToGrid/>
        <w:spacing w:line="440" w:lineRule="atLeast"/>
        <w:ind w:left="578" w:leftChars="149" w:right="48" w:rightChars="20" w:hanging="220" w:hangingChars="10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《浙江省消防技术规范难点问题操作技术指南》浙消[2020]166号</w:t>
      </w:r>
    </w:p>
    <w:tbl>
      <w:tblPr>
        <w:tblStyle w:val="18"/>
        <w:tblW w:w="8520" w:type="dxa"/>
        <w:tblInd w:w="91" w:type="dxa"/>
        <w:tblLayout w:type="autofit"/>
        <w:tblCellMar>
          <w:top w:w="0" w:type="dxa"/>
          <w:left w:w="108" w:type="dxa"/>
          <w:bottom w:w="0" w:type="dxa"/>
          <w:right w:w="108" w:type="dxa"/>
        </w:tblCellMar>
      </w:tblPr>
      <w:tblGrid>
        <w:gridCol w:w="6063"/>
        <w:gridCol w:w="2457"/>
      </w:tblGrid>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民用建筑供暖通风与空气调节设计规范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50736-2012</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民用建筑统一设计标准</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50352-2019</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民用建筑隔声设计规范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50118-2010</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声环境质量标准</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3096-2008</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建筑设计防火规范（2018年版）</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50016-2014</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汽车库、修车库、停车场设计防火规范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50067-2014</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民用建筑热工设计规范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50176-2016</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节能设计标准</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50189-2015</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夏热冬冷地区居住建筑节能设计标准</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JGJ 134-2010</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车库建筑设计规范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JGJ 100-2015</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w:t>
            </w: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节能设计标准</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DB 33/1036-2021</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浙江省绿色建筑设计标准</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DB 33/1092-2021</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绿色建筑评价标准</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50378-2019</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建筑防火通用规范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55037-2022</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建筑节能与可再生能源利用通用规范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55015-2021</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建筑机电工程抗震设计规范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50981-2014</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建筑与市政工程抗震通用规范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55002-2021</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建筑环境通用规范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55016-2021</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消防设施通用规范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55036-2022</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民用建筑通用规范</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55031-2022</w:t>
            </w:r>
          </w:p>
        </w:tc>
      </w:tr>
      <w:tr>
        <w:tblPrEx>
          <w:tblCellMar>
            <w:top w:w="0" w:type="dxa"/>
            <w:left w:w="108" w:type="dxa"/>
            <w:bottom w:w="0" w:type="dxa"/>
            <w:right w:w="108" w:type="dxa"/>
          </w:tblCellMar>
        </w:tblPrEx>
        <w:trPr>
          <w:trHeight w:val="255" w:hRule="atLeast"/>
        </w:trPr>
        <w:tc>
          <w:tcPr>
            <w:tcW w:w="6063"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浙江省民用建筑项目节能评估技术导则</w:t>
            </w:r>
          </w:p>
        </w:tc>
        <w:tc>
          <w:tcPr>
            <w:tcW w:w="2457" w:type="dxa"/>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r>
    </w:tbl>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《工程结构通用规范》                             (GB 55001-2021)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《混凝土结构通用规范》                           (GB 55008-2021)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《钢结构通用规范》                               (GB 55006-2021)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《砌体结构通用规范》                             (GB 55007-2021)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《建筑与市政工程抗震通用规范》                   (GB55002-2021)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《建筑与市政地基基础通用规范》                   (GB55003-2021)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《组合结构通用规范》                             (GB55004-2021)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《工程测量通用规范》                             (GB55018-2021)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《建筑结构可靠性设计统一标准 》                  (GB 50068-2018)</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《建筑工程抗震设防分类标准》                     (GB 50223-2008)</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《建筑结构荷载规范》                             (GB 50009-2012)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《混凝土结构设计规范》                           (GB 50010-2010) (2015年版)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《建筑抗震设计规范》                             (GB 50011-2010 ) (2016年版)</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《中国地震动参数区划图》                         (GB 18306-2015 )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《建筑地基基础设计规范》                         (GB 50007-2011)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《地下工程防水技术规范》                         (GB50108-2008)</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《建筑与市政工程防水通用规范》                   (GB55030-2022)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《砌体结构设计规范》                             (GB50003-2011)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《建筑设计防火规范》                             (GB50016-2014)(2018年版)</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《建筑防火通用规范》                             (GB55037-2022)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《建筑钢结构防火技术规范》                       (GB51249-2017)</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《钢结构设计标准》                               (GB50017-2017)</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《人民防空地下室设计规范》                       (GB50038-2005)</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《高层民用建筑钢结构技术规程》                   (JGJ99-2015)</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《高层建筑混凝土结构技术规程》                   (JGJ 3-2010)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《建筑桩基技术规范》                             (JGJ94-2008)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《浙江省地基基础设计规范》                       (DB33T1136-2017)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《建筑工程抗浮技术标准》                         (JGJ476-2019)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《高层建筑筏形与箱型基础技术规范》               (JGJ 6-2011)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《住宅工程质量常见问题控制标准》                 (DBJ33/T1286-2022)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《绿色建筑设计标准》                             (DB33/1092-2021) </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混凝土结构施工图平面整体表示方法制图规则和构造详图(现浇混凝土框架、剪力墙、梁、板)(22G101-1)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混凝土结构施工图平面整体表示方法制图规则和构造详图(现浇混凝土板式楼梯)(22G101-2)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混凝土结构施工图平面整体表示方法制图规则和构造详图(独立基础、条形基础、筏形基础、桩基础)(22G101-3)</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华汇工程设计集团股份有限公司提供的 《绍兴综合保税区商务配套中心项目 岩土工程勘察报告》（详勘，2022.09.22）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《岩土工程勘察规范》（GB50021-2001）（2009年版）</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《建筑基坑工程监测技术标准》（GB50497-2019）</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《建筑地基基础设计规范》（GB50007-2011）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《混凝土结构设计规范》（GB50010-2010）（2015年版）</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《钢结构设计标准》（GB50017-2017）</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《混凝土结构工程施工及验收规范》（GB50204-2015）</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《钢结构工程施工质量验收规范》（GB50205-2012）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《建筑地基基础工程施工质量验收标准》（GB50202-2018）</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《建筑基坑支护技术规程》（JGJ120-2012）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《建筑桩基技术规范》（JGJ94-2008）</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《钢筋焊接及验收规程》（JGJ18-2012）</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《建筑基坑工程技术规程》（DB33/T1096-2014）</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《工程建设岩土工程勘察规范》（DB33/T1065-2019）</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《建筑地基基础设计规范》（DB33/T1136-2017）</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《型钢水泥土搅拌墙技术规程》（DB33/T 1082-2011）</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建设部第37号部令《危险性较大的分部分项工程安全管理规定》</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建质【2018】31号文件“关于实施【2018】37号《危险性较大的分部分项工程安全管理规定》有关问题的通知</w:t>
      </w:r>
    </w:p>
    <w:p>
      <w:pPr>
        <w:keepNext w:val="0"/>
        <w:keepLines w:val="0"/>
        <w:pageBreakBefore w:val="0"/>
        <w:widowControl w:val="0"/>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本工程基坑围护设计专家论证意见</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《玻璃幕墙工程技术规范》（JGJ102--2003）</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《金属与石材幕墙工程技术规范》（JGJ133-2001）。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《建筑结构荷载规范》（GB50009-2012）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《钢结构设计标准》（GB50017-2017）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《铝合金结构设计规范》（GB50429-2007）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《冷弯薄壁型钢结构技术规范》（GB50018-2002）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《建筑结构可靠性设计统一标准》（GB50068-2018）</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《工程结构可靠性设计统一标准》（GB50153-2008）</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《工程结构通用规范》（GB55001-2021）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《建筑与市政工程抗震通用规范》（GB55002-2021）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《钢结构通用规范》（GB55006-2021）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《混凝土结构通用规范》（GB55008-2021）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《建筑节能与可再生能源利用通用规范》（GB55015-2021）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《建筑环境通用规范》（GB550016-2021）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《建筑电气与智能化通用规范》（GB55027-2022）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《建筑与市政工程防水通用规范》（GB55030-2022）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《民用建筑通用规范》（GB55031-2022）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《建筑防火通用规范》(GB55037-2022)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《混凝土结构设计规范》 （GB50010-2010）2015年版</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《建筑抗震设计规范》</w:t>
      </w:r>
      <w:bookmarkStart w:id="716" w:name="OLE_LINK6"/>
      <w:r>
        <w:rPr>
          <w:rFonts w:hint="eastAsia" w:ascii="宋体" w:hAnsi="宋体" w:eastAsia="宋体" w:cs="宋体"/>
          <w:color w:val="auto"/>
          <w:sz w:val="21"/>
          <w:szCs w:val="21"/>
          <w:highlight w:val="none"/>
        </w:rPr>
        <w:t>（GB50011-2010）2016年版</w:t>
      </w:r>
      <w:bookmarkEnd w:id="716"/>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《建筑物防雷设计规范》（GB50057-2010）</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《建筑设计防火规范》（GB50016-2014）2018年版</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《民用建筑隔声设计规范》（GB50118-2010）</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《玻璃幕墙光热性能》（GB/T18091-2015）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《建筑气候区划标准》（GB50178-93）</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《民用建筑热工设计规范》（GB50176-2016）</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民用建筑</w:t>
      </w:r>
      <w:r>
        <w:rPr>
          <w:rFonts w:hint="eastAsia" w:ascii="宋体" w:hAnsi="宋体" w:eastAsia="宋体" w:cs="宋体"/>
          <w:color w:val="auto"/>
          <w:sz w:val="21"/>
          <w:szCs w:val="21"/>
          <w:highlight w:val="none"/>
        </w:rPr>
        <w:t>节能设计标准》（GB50189-2015）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《建筑门窗玻璃幕墙热工计算规程》（JGJ/T151-2008）</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《建筑幕墙》（GB/T21086-2007）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《建筑玻璃应用技术规程》（JGJ113-2015）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《采光顶与金属屋面技术规程》（JGJ255-2012）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《混凝土结构后锚固技术规程》（JGJ145-2013）</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《金属覆盖层钢铁制品热镀锌层技术要求及试验方法》（GB/T13912-2020）</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《建筑钢结构防腐蚀技术规程》（JGJ/T251-2011）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《钢结构工程施工规范》（GB50755-2012）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《钢结构焊接规范》（GB50661-2011）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《外墙外保温工程技术规程》（JGJ144-2019）</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《建筑材料及制品燃烧性能分级》（GB8624-2012）</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《人造板材幕墙工程技术规范》（JGJ336-2016）</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《建筑幕墙、门窗通用技术条件》（GB/T31433-2015）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《建筑幕墙气密、水密、抗风压性能检测方法》（GB/T15227--2019）</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《建筑幕墙层间变形性能分级及检测方法》（GB/T18250--2015）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《建筑幕墙耐撞击性能分级及检测方法》（GB/T38264-2019）</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《铝合金建筑型材  第1部分  基材》（GB/T5237.1-2017）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《铝合金建筑型材  第2部分 阳极氧化型材》（GB/T5237.2-2017）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《铝合金建筑型材  第4部分 喷粉型材》（GB/T5237.4-2017）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《铝合金建筑型材  第5部分  喷漆型材》（GB/T5237.5-2017）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《铝合金建筑型材  第6部分 隔热型材》（GB/T5237.6-2017）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《铝型材截面几何参数算法及计算机程序要求》（YS/T437-2018）</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《变形铝及铝合金化学成分》（GB/T3190-2020）</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《变形铝及铝合金牌号表示方法》（GB/T16474-2011）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《变形铝及铝合金状态号》（GB/T16475-2008）</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《建筑用隔热铝合金型材》（JG/T175-2011）</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《建筑铝合金型材用聚酰胺隔热条》（JG/T174-2014）</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《碳素结构钢》（GB/T700-2006）</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《优质碳素结构钢》（GB/T699-2015）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《优质碳素结构钢热轧钢板和钢带》（GB/T711-2017）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《碳素结构钢和低合金结构钢热轧钢带》（GB/T3524-2015）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《通用冷弯开口型钢》（GB/T6723-2017）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《结构用冷弯空心型钢》（GB/T6728-2017）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《低合金高强度结构钢》（GB /T1591-2018）</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《冷弯型钢通用技术要求》（GB/T6725-2017）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《热轧型钢》（GB/T706-2016）</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《结构用无缝钢管》（GB/T 8162-2018）</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《不锈钢棒》（GB/T 1220-2007）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《不锈钢冷加工棒》（GB/T 4226-2009）</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《不锈钢热轧钢板和钢带》（GB/T4237-2015）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《不锈钢冷轧钢板和钢带》（GB/T3280-2015）</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《通用耐蚀钢铸件》（GB/T2100-2017）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《工程结构中、高强度不锈钢铸件》（GB/T6967-2009）</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《不锈钢和耐热钢 牌号及化学成分》（GB/T20878-2007）</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《冷轧钢板和钢带的尺寸、外形、重量及允许偏差》（GB/T708-2019）</w:t>
      </w:r>
    </w:p>
    <w:p>
      <w:pPr>
        <w:keepNext w:val="0"/>
        <w:keepLines w:val="0"/>
        <w:pageBreakBefore w:val="0"/>
        <w:widowControl w:val="0"/>
        <w:tabs>
          <w:tab w:val="left" w:pos="329"/>
        </w:tabs>
        <w:kinsoku/>
        <w:wordWrap/>
        <w:overflowPunct/>
        <w:topLinePunct w:val="0"/>
        <w:autoSpaceDE w:val="0"/>
        <w:autoSpaceDN w:val="0"/>
        <w:bidi w:val="0"/>
        <w:adjustRightInd w:val="0"/>
        <w:snapToGrid/>
        <w:spacing w:line="440" w:lineRule="atLeast"/>
        <w:ind w:right="48"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《热轧钢板和钢带的尺寸、外形、重量及允许偏差》（GB/T709-2019）</w:t>
      </w:r>
    </w:p>
    <w:p>
      <w:pPr>
        <w:pStyle w:val="15"/>
        <w:spacing w:line="440" w:lineRule="exact"/>
        <w:rPr>
          <w:color w:val="auto"/>
          <w:sz w:val="24"/>
          <w:szCs w:val="24"/>
          <w:highlight w:val="none"/>
        </w:rPr>
      </w:pPr>
    </w:p>
    <w:p>
      <w:pPr>
        <w:pStyle w:val="15"/>
        <w:spacing w:line="440" w:lineRule="exact"/>
        <w:rPr>
          <w:color w:val="auto"/>
          <w:sz w:val="24"/>
          <w:szCs w:val="24"/>
          <w:highlight w:val="none"/>
        </w:rPr>
      </w:pPr>
    </w:p>
    <w:p>
      <w:pPr>
        <w:pStyle w:val="15"/>
        <w:spacing w:line="440" w:lineRule="exact"/>
        <w:rPr>
          <w:color w:val="auto"/>
          <w:sz w:val="24"/>
          <w:szCs w:val="24"/>
          <w:highlight w:val="none"/>
        </w:rPr>
      </w:pPr>
    </w:p>
    <w:p>
      <w:pPr>
        <w:pStyle w:val="15"/>
        <w:spacing w:line="440" w:lineRule="exact"/>
        <w:rPr>
          <w:color w:val="auto"/>
          <w:sz w:val="24"/>
          <w:szCs w:val="24"/>
          <w:highlight w:val="none"/>
        </w:rPr>
      </w:pPr>
    </w:p>
    <w:p>
      <w:pPr>
        <w:pStyle w:val="15"/>
        <w:spacing w:line="440" w:lineRule="exact"/>
        <w:rPr>
          <w:color w:val="auto"/>
          <w:sz w:val="24"/>
          <w:szCs w:val="24"/>
          <w:highlight w:val="none"/>
        </w:rPr>
      </w:pPr>
    </w:p>
    <w:p>
      <w:pPr>
        <w:pStyle w:val="15"/>
        <w:spacing w:line="440" w:lineRule="exact"/>
        <w:jc w:val="center"/>
        <w:rPr>
          <w:color w:val="auto"/>
          <w:sz w:val="44"/>
          <w:szCs w:val="44"/>
          <w:highlight w:val="none"/>
        </w:rPr>
      </w:pPr>
      <w:r>
        <w:rPr>
          <w:rFonts w:hint="eastAsia" w:hAnsi="宋体"/>
          <w:color w:val="auto"/>
          <w:sz w:val="44"/>
          <w:szCs w:val="44"/>
          <w:highlight w:val="none"/>
        </w:rPr>
        <w:t>☑标准图集清单</w:t>
      </w:r>
    </w:p>
    <w:p>
      <w:pPr>
        <w:pStyle w:val="15"/>
        <w:spacing w:line="440" w:lineRule="exact"/>
        <w:jc w:val="left"/>
        <w:rPr>
          <w:color w:val="auto"/>
          <w:sz w:val="24"/>
          <w:szCs w:val="24"/>
          <w:highlight w:val="none"/>
        </w:rPr>
      </w:pPr>
      <w:r>
        <w:rPr>
          <w:rFonts w:hint="eastAsia" w:hAnsi="宋体"/>
          <w:color w:val="auto"/>
          <w:sz w:val="24"/>
          <w:szCs w:val="24"/>
          <w:highlight w:val="none"/>
        </w:rPr>
        <w:t>以下标准图集，限于招标文件中指明的章节和内容，构成图纸的一部分。</w:t>
      </w:r>
    </w:p>
    <w:p>
      <w:pPr>
        <w:pStyle w:val="15"/>
        <w:spacing w:line="440" w:lineRule="exact"/>
        <w:ind w:firstLine="1980" w:firstLineChars="825"/>
        <w:jc w:val="center"/>
        <w:rPr>
          <w:color w:val="auto"/>
          <w:sz w:val="24"/>
          <w:szCs w:val="24"/>
          <w:highlight w:val="none"/>
        </w:rPr>
      </w:pPr>
      <w:r>
        <w:rPr>
          <w:rFonts w:hint="eastAsia" w:hAnsi="宋体"/>
          <w:color w:val="auto"/>
          <w:sz w:val="24"/>
          <w:szCs w:val="24"/>
          <w:highlight w:val="none"/>
        </w:rPr>
        <w:t xml:space="preserve">                                    </w:t>
      </w:r>
      <w:bookmarkStart w:id="717" w:name="_Toc45697247"/>
      <w:bookmarkEnd w:id="717"/>
      <w:bookmarkStart w:id="718" w:name="_Toc67589039"/>
      <w:r>
        <w:rPr>
          <w:rFonts w:hint="eastAsia" w:hAnsi="宋体"/>
          <w:color w:val="auto"/>
          <w:sz w:val="24"/>
          <w:szCs w:val="24"/>
          <w:highlight w:val="none"/>
        </w:rPr>
        <w:t xml:space="preserve">  第  页 共  页</w:t>
      </w:r>
    </w:p>
    <w:tbl>
      <w:tblPr>
        <w:tblStyle w:val="18"/>
        <w:tblW w:w="91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750"/>
        <w:gridCol w:w="4480"/>
        <w:gridCol w:w="84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noWrap/>
          </w:tcPr>
          <w:p>
            <w:pPr>
              <w:pStyle w:val="15"/>
              <w:spacing w:line="440" w:lineRule="exact"/>
              <w:jc w:val="center"/>
              <w:rPr>
                <w:color w:val="auto"/>
                <w:kern w:val="2"/>
                <w:sz w:val="24"/>
                <w:szCs w:val="24"/>
                <w:highlight w:val="none"/>
              </w:rPr>
            </w:pPr>
            <w:r>
              <w:rPr>
                <w:rFonts w:hint="eastAsia"/>
                <w:color w:val="auto"/>
                <w:kern w:val="2"/>
                <w:sz w:val="24"/>
                <w:szCs w:val="24"/>
                <w:highlight w:val="none"/>
              </w:rPr>
              <w:t>序号</w:t>
            </w:r>
          </w:p>
        </w:tc>
        <w:tc>
          <w:tcPr>
            <w:tcW w:w="1750" w:type="dxa"/>
            <w:tcBorders>
              <w:top w:val="single" w:color="auto" w:sz="4" w:space="0"/>
              <w:left w:val="nil"/>
              <w:bottom w:val="single" w:color="auto" w:sz="4" w:space="0"/>
              <w:right w:val="single" w:color="auto" w:sz="4" w:space="0"/>
            </w:tcBorders>
            <w:noWrap/>
          </w:tcPr>
          <w:p>
            <w:pPr>
              <w:pStyle w:val="15"/>
              <w:spacing w:line="440" w:lineRule="exact"/>
              <w:jc w:val="center"/>
              <w:rPr>
                <w:color w:val="auto"/>
                <w:kern w:val="2"/>
                <w:sz w:val="24"/>
                <w:szCs w:val="24"/>
                <w:highlight w:val="none"/>
              </w:rPr>
            </w:pPr>
            <w:r>
              <w:rPr>
                <w:rFonts w:hint="eastAsia"/>
                <w:color w:val="auto"/>
                <w:kern w:val="2"/>
                <w:sz w:val="24"/>
                <w:szCs w:val="24"/>
                <w:highlight w:val="none"/>
              </w:rPr>
              <w:t>图集编号</w:t>
            </w:r>
          </w:p>
        </w:tc>
        <w:tc>
          <w:tcPr>
            <w:tcW w:w="4480" w:type="dxa"/>
            <w:tcBorders>
              <w:top w:val="single" w:color="auto" w:sz="4" w:space="0"/>
              <w:left w:val="nil"/>
              <w:bottom w:val="single" w:color="auto" w:sz="4" w:space="0"/>
              <w:right w:val="single" w:color="auto" w:sz="4" w:space="0"/>
            </w:tcBorders>
            <w:noWrap/>
          </w:tcPr>
          <w:p>
            <w:pPr>
              <w:pStyle w:val="15"/>
              <w:spacing w:line="440" w:lineRule="exact"/>
              <w:jc w:val="center"/>
              <w:rPr>
                <w:color w:val="auto"/>
                <w:kern w:val="2"/>
                <w:sz w:val="24"/>
                <w:szCs w:val="24"/>
                <w:highlight w:val="none"/>
              </w:rPr>
            </w:pPr>
            <w:r>
              <w:rPr>
                <w:rFonts w:hint="eastAsia"/>
                <w:color w:val="auto"/>
                <w:kern w:val="2"/>
                <w:sz w:val="24"/>
                <w:szCs w:val="24"/>
                <w:highlight w:val="none"/>
              </w:rPr>
              <w:t>图集名称</w:t>
            </w:r>
          </w:p>
        </w:tc>
        <w:tc>
          <w:tcPr>
            <w:tcW w:w="840" w:type="dxa"/>
            <w:tcBorders>
              <w:top w:val="single" w:color="auto" w:sz="4" w:space="0"/>
              <w:left w:val="nil"/>
              <w:bottom w:val="single" w:color="auto" w:sz="4" w:space="0"/>
              <w:right w:val="single" w:color="auto" w:sz="4" w:space="0"/>
            </w:tcBorders>
            <w:noWrap/>
          </w:tcPr>
          <w:p>
            <w:pPr>
              <w:pStyle w:val="15"/>
              <w:spacing w:line="440" w:lineRule="exact"/>
              <w:jc w:val="center"/>
              <w:rPr>
                <w:color w:val="auto"/>
                <w:kern w:val="2"/>
                <w:sz w:val="24"/>
                <w:szCs w:val="24"/>
                <w:highlight w:val="none"/>
              </w:rPr>
            </w:pPr>
            <w:r>
              <w:rPr>
                <w:rFonts w:hint="eastAsia"/>
                <w:color w:val="auto"/>
                <w:kern w:val="2"/>
                <w:sz w:val="24"/>
                <w:szCs w:val="24"/>
                <w:highlight w:val="none"/>
              </w:rPr>
              <w:t>日期</w:t>
            </w:r>
          </w:p>
        </w:tc>
        <w:tc>
          <w:tcPr>
            <w:tcW w:w="1377" w:type="dxa"/>
            <w:tcBorders>
              <w:top w:val="single" w:color="auto" w:sz="4" w:space="0"/>
              <w:left w:val="nil"/>
              <w:bottom w:val="single" w:color="auto" w:sz="4" w:space="0"/>
              <w:right w:val="single" w:color="auto" w:sz="4" w:space="0"/>
            </w:tcBorders>
            <w:noWrap/>
          </w:tcPr>
          <w:p>
            <w:pPr>
              <w:pStyle w:val="15"/>
              <w:spacing w:line="440" w:lineRule="exact"/>
              <w:jc w:val="center"/>
              <w:rPr>
                <w:color w:val="auto"/>
                <w:kern w:val="2"/>
                <w:sz w:val="24"/>
                <w:szCs w:val="24"/>
                <w:highlight w:val="none"/>
              </w:rPr>
            </w:pPr>
            <w:r>
              <w:rPr>
                <w:rFonts w:hint="eastAsia"/>
                <w:color w:val="auto"/>
                <w:kern w:val="2"/>
                <w:sz w:val="24"/>
                <w:szCs w:val="24"/>
                <w:highlight w:val="none"/>
              </w:rPr>
              <w:t>编写人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Courier New"/>
                <w:color w:val="auto"/>
                <w:kern w:val="2"/>
                <w:sz w:val="21"/>
                <w:szCs w:val="21"/>
                <w:highlight w:val="none"/>
              </w:rPr>
            </w:pPr>
            <w:r>
              <w:rPr>
                <w:rFonts w:hint="eastAsia" w:ascii="宋体" w:hAnsi="宋体" w:cs="宋体"/>
                <w:color w:val="auto"/>
                <w:sz w:val="21"/>
                <w:szCs w:val="21"/>
                <w:highlight w:val="none"/>
                <w:lang w:bidi="ar"/>
              </w:rPr>
              <w:t>12K101-1～4</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Courier New"/>
                <w:color w:val="auto"/>
                <w:kern w:val="2"/>
                <w:sz w:val="21"/>
                <w:szCs w:val="21"/>
                <w:highlight w:val="none"/>
              </w:rPr>
            </w:pPr>
            <w:r>
              <w:rPr>
                <w:rFonts w:hint="eastAsia" w:ascii="宋体" w:hAnsi="宋体" w:cs="宋体"/>
                <w:color w:val="auto"/>
                <w:sz w:val="21"/>
                <w:szCs w:val="21"/>
                <w:highlight w:val="none"/>
                <w:lang w:bidi="ar"/>
              </w:rPr>
              <w:t>通风机安装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02K110-1～3</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通风机附件安装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94K302</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卫生间通风器安装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06K105</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屋顶自然通风器选用与安装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13K115</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暖通空调风管软连接选用与安装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07K120</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风阀选用与安装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10K121</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风口选用与安装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14K117-1~3</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金属风帽及附件</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06R403</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锅炉房风烟管道及附件</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06K131</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风管测量孔和检查门</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15K116-1</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XZP100 消声器选用与制作</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07K133</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薄钢板法兰风管制作与安装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09CK134</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机制玻镁复合板风管制作与安装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19K112</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金属、非金属风管支吊架</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13K312</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空气幕选用与安装</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62" w:type="dxa"/>
            <w:tcBorders>
              <w:top w:val="single" w:color="auto" w:sz="4" w:space="0"/>
              <w:left w:val="single" w:color="auto" w:sz="4" w:space="0"/>
              <w:bottom w:val="single" w:color="auto" w:sz="4" w:space="0"/>
              <w:right w:val="single" w:color="auto" w:sz="4" w:space="0"/>
            </w:tcBorders>
            <w:noWrap/>
            <w:vAlign w:val="center"/>
          </w:tcPr>
          <w:p>
            <w:pPr>
              <w:pStyle w:val="15"/>
              <w:spacing w:line="440" w:lineRule="exact"/>
              <w:ind w:firstLine="480"/>
              <w:jc w:val="center"/>
              <w:rPr>
                <w:color w:val="auto"/>
                <w:kern w:val="2"/>
                <w:sz w:val="21"/>
                <w:szCs w:val="21"/>
                <w:highlight w:val="none"/>
              </w:rPr>
            </w:pPr>
          </w:p>
        </w:tc>
        <w:tc>
          <w:tcPr>
            <w:tcW w:w="175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19K116-5</w:t>
            </w:r>
          </w:p>
        </w:tc>
        <w:tc>
          <w:tcPr>
            <w:tcW w:w="4480" w:type="dxa"/>
            <w:tcBorders>
              <w:top w:val="single" w:color="auto" w:sz="4" w:space="0"/>
              <w:left w:val="nil"/>
              <w:bottom w:val="single" w:color="auto" w:sz="4" w:space="0"/>
              <w:right w:val="single" w:color="auto" w:sz="4" w:space="0"/>
            </w:tcBorders>
            <w:noWrap/>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XZK 阻抗复合型消声器选用与制作</w:t>
            </w:r>
          </w:p>
        </w:tc>
        <w:tc>
          <w:tcPr>
            <w:tcW w:w="840"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c>
          <w:tcPr>
            <w:tcW w:w="1377" w:type="dxa"/>
            <w:tcBorders>
              <w:top w:val="single" w:color="auto" w:sz="4" w:space="0"/>
              <w:left w:val="nil"/>
              <w:bottom w:val="single" w:color="auto" w:sz="4" w:space="0"/>
              <w:right w:val="single" w:color="auto" w:sz="4" w:space="0"/>
            </w:tcBorders>
            <w:noWrap/>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16K702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离心式水泵安装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13K704</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供暖空调水处理设备选用与安装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03R402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除污器</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15K205-1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集气罐制作及安装与自动排气阀的选用</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13K204</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暖通空调水管软连接选用与安装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05K232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分（集）水器 分汽缸</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03R401-2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开式水箱</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98R401-1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常压密闭水箱</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05R401-3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常压蓄热水箱</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05K210</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采暖空调循环水系统定压</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07K201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管道阀门选用与安装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94R404</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热力管道焊制管件及设计选用图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02S403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钢制管件</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01R415</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室内动力管道装置安装(热力管道)</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18R409</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管道穿墙、屋面防水套管</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05R417-1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室内管道支吊架</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17R410</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热水管道直埋敷设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18R417-2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装配式管道支吊架（含抗震支吊架）18R417-2 </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16R405</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暖通动力常用仪表安装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02R111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小型立、卧式油罐图集</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08K507-1~2 </w:t>
            </w:r>
          </w:p>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08R418-1~2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管道与设备绝热（2008 年合订本）</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16S401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管道和设备保温、防结露及电伴热</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01(03)K403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风机盘管安装(03 年局部修改版)</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06K301-1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空气-空气能量回收装置选用与安装(新风换气机部分)</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06K301-2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空调系统热回收装置选用与安装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07K304</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空调机房设计与安装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03SR113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中央液态冷热源环境系统设计施工图集</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07R202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空调用电制冷机房设计与施工</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02R110</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燃气(油)锅炉房工程设计施工图集</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D500~D502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《防雷与接地》上册</w:t>
            </w:r>
            <w:r>
              <w:rPr>
                <w:rFonts w:ascii="宋体" w:hAnsi="宋体" w:cs="宋体"/>
                <w:color w:val="auto"/>
                <w:sz w:val="21"/>
                <w:szCs w:val="21"/>
                <w:highlight w:val="none"/>
                <w:lang w:bidi="ar"/>
              </w:rPr>
              <w:t>(2016 年合订本)</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 xml:space="preserve">D503~D505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《防雷与接地》下册</w:t>
            </w:r>
            <w:r>
              <w:rPr>
                <w:rFonts w:ascii="宋体" w:hAnsi="宋体" w:cs="宋体"/>
                <w:color w:val="auto"/>
                <w:sz w:val="21"/>
                <w:szCs w:val="21"/>
                <w:highlight w:val="none"/>
                <w:lang w:bidi="ar"/>
              </w:rPr>
              <w:t>(2016 年合订本)</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D800-1~7</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《民用建筑电气设计与施工》</w:t>
            </w:r>
            <w:r>
              <w:rPr>
                <w:rFonts w:ascii="宋体" w:hAnsi="宋体" w:cs="宋体"/>
                <w:color w:val="auto"/>
                <w:sz w:val="21"/>
                <w:szCs w:val="21"/>
                <w:highlight w:val="none"/>
                <w:lang w:bidi="ar"/>
              </w:rPr>
              <w:t>(2008 年合订本)</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 xml:space="preserve">17D201-4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w:t>
            </w:r>
            <w:r>
              <w:rPr>
                <w:rFonts w:ascii="宋体" w:hAnsi="宋体" w:cs="宋体"/>
                <w:color w:val="auto"/>
                <w:sz w:val="21"/>
                <w:szCs w:val="21"/>
                <w:highlight w:val="none"/>
                <w:lang w:bidi="ar"/>
              </w:rPr>
              <w:t>20/0.4kV 及以下油浸变压器室布置及变配电所常用设备构件安装》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 xml:space="preserve">D701-1~3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《封闭式母线及槽盒安装》（</w:t>
            </w:r>
            <w:r>
              <w:rPr>
                <w:rFonts w:ascii="宋体" w:hAnsi="宋体" w:cs="宋体"/>
                <w:color w:val="auto"/>
                <w:sz w:val="21"/>
                <w:szCs w:val="21"/>
                <w:highlight w:val="none"/>
                <w:lang w:bidi="ar"/>
              </w:rPr>
              <w:t>2004 年合订本）</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 xml:space="preserve">12D101-5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w:t>
            </w:r>
            <w:r>
              <w:rPr>
                <w:rFonts w:ascii="宋体" w:hAnsi="宋体" w:cs="宋体"/>
                <w:color w:val="auto"/>
                <w:sz w:val="21"/>
                <w:szCs w:val="21"/>
                <w:highlight w:val="none"/>
                <w:lang w:bidi="ar"/>
              </w:rPr>
              <w:t>110kV 及以下电缆敷设》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D301-1</w:t>
            </w:r>
            <w:r>
              <w:rPr>
                <w:rFonts w:hint="eastAsia" w:ascii="宋体" w:hAnsi="宋体" w:cs="宋体"/>
                <w:color w:val="auto"/>
                <w:sz w:val="21"/>
                <w:szCs w:val="21"/>
                <w:highlight w:val="none"/>
                <w:lang w:bidi="ar"/>
              </w:rPr>
              <w:t>～</w:t>
            </w:r>
            <w:r>
              <w:rPr>
                <w:rFonts w:ascii="宋体" w:hAnsi="宋体" w:cs="宋体"/>
                <w:color w:val="auto"/>
                <w:sz w:val="21"/>
                <w:szCs w:val="21"/>
                <w:highlight w:val="none"/>
                <w:lang w:bidi="ar"/>
              </w:rPr>
              <w:t xml:space="preserve">3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《室内管线安装》（</w:t>
            </w:r>
            <w:r>
              <w:rPr>
                <w:rFonts w:ascii="宋体" w:hAnsi="宋体" w:cs="宋体"/>
                <w:color w:val="auto"/>
                <w:sz w:val="21"/>
                <w:szCs w:val="21"/>
                <w:highlight w:val="none"/>
                <w:lang w:bidi="ar"/>
              </w:rPr>
              <w:t xml:space="preserve">2004 年合订本） </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 xml:space="preserve">15D202-3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w:t>
            </w:r>
            <w:r>
              <w:rPr>
                <w:rFonts w:ascii="宋体" w:hAnsi="宋体" w:cs="宋体"/>
                <w:color w:val="auto"/>
                <w:sz w:val="21"/>
                <w:szCs w:val="21"/>
                <w:highlight w:val="none"/>
                <w:lang w:bidi="ar"/>
              </w:rPr>
              <w:t xml:space="preserve">UPS 与 EPS 电源装置的设计与安装》 </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D500~D505</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《防雷与接地》</w:t>
            </w:r>
            <w:r>
              <w:rPr>
                <w:rFonts w:ascii="宋体" w:hAnsi="宋体" w:cs="宋体"/>
                <w:color w:val="auto"/>
                <w:sz w:val="21"/>
                <w:szCs w:val="21"/>
                <w:highlight w:val="none"/>
                <w:lang w:bidi="ar"/>
              </w:rPr>
              <w:t xml:space="preserve">(2016 年合订本) </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D800-1~7</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《民用建筑电气设计与施工》</w:t>
            </w:r>
            <w:r>
              <w:rPr>
                <w:rFonts w:ascii="宋体" w:hAnsi="宋体" w:cs="宋体"/>
                <w:color w:val="auto"/>
                <w:sz w:val="21"/>
                <w:szCs w:val="21"/>
                <w:highlight w:val="none"/>
                <w:lang w:bidi="ar"/>
              </w:rPr>
              <w:t>(2008 年合订本)</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D702-1</w:t>
            </w:r>
            <w:r>
              <w:rPr>
                <w:rFonts w:hint="eastAsia" w:ascii="宋体" w:hAnsi="宋体" w:cs="宋体"/>
                <w:color w:val="auto"/>
                <w:sz w:val="21"/>
                <w:szCs w:val="21"/>
                <w:highlight w:val="none"/>
                <w:lang w:bidi="ar"/>
              </w:rPr>
              <w:t>～</w:t>
            </w:r>
            <w:r>
              <w:rPr>
                <w:rFonts w:ascii="宋体" w:hAnsi="宋体" w:cs="宋体"/>
                <w:color w:val="auto"/>
                <w:sz w:val="21"/>
                <w:szCs w:val="21"/>
                <w:highlight w:val="none"/>
                <w:lang w:bidi="ar"/>
              </w:rPr>
              <w:t xml:space="preserve">3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《常用低压配电设备及灯具安装》（</w:t>
            </w:r>
            <w:r>
              <w:rPr>
                <w:rFonts w:ascii="宋体" w:hAnsi="宋体" w:cs="宋体"/>
                <w:color w:val="auto"/>
                <w:sz w:val="21"/>
                <w:szCs w:val="21"/>
                <w:highlight w:val="none"/>
                <w:lang w:bidi="ar"/>
              </w:rPr>
              <w:t xml:space="preserve">2004 年合订本） </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16D303-2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《常用风机控制电路图》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16D303-3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《常用水泵控制电路图》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ascii="宋体" w:hAnsi="宋体" w:cs="宋体"/>
                <w:color w:val="auto"/>
                <w:sz w:val="21"/>
                <w:szCs w:val="21"/>
                <w:highlight w:val="none"/>
                <w:lang w:bidi="ar"/>
              </w:rPr>
              <w:t>11CDX008-5</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《电能计量管理系统设计与安装》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15S909</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《消防给水及消火栓系统技术规范》图示</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09S304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《卫生设备安装》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15S202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《室内消火栓安装》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16S401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《管道和设备保温、防结露及电伴热》</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12S108-1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《倒流防止器选用与安装》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20S206</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《自动喷水灭火设施安装》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02S404</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《防水套管》</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01SS105</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《常用小型仪表及特种阀门选用安装》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03S402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《室内管道支架及吊架》</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09S302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《雨水斗选用及安装》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02S403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《钢制管件》</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99(03)S203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《消防水泵接合器安装》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19S204-1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《消防专用水泵选用与安装（一）》</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17S205</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《消防增压稳压设备选用与安装》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05S502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《室外给水管道附属构筑物》</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04S301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《建筑排水设备附件选用安装》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08S305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《小型潜水排污泵选用及安装》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19S406</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《建筑排水管道安装——塑料管道》</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12S101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《矩形给水箱》</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22S407-2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《建筑给水薄壁不锈钢管道安装》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06SS127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《热泵热水系统选用与安装》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13S409</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《建筑排水用柔性接口铸铁管道与钢塑复合管道安装》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10SS411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《建筑给水复合金属管道安装》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07FS02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《防空地下室给排水设施安装》</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18R409 </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《管道穿墙、屋面防水套管》</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05R417-1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《室内管道支吊架》</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15G366-1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《桁架钢筋混凝土叠合板（60mm厚底板）》</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15G367-1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《预制钢筋混凝土板式楼梯》</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15G310-1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《装配式混凝土结构连接节点构造（楼盖和楼梯）》</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22G101-1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《混凝土结构施工图平面整体表示方法制图规则和构造详图》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11G329</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《建筑物抗震构造详图》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15G107-1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《装配式混凝土结构表示方法及示例（剪力墙结构）》</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14J936</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《变形缝建筑构造》</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15J403-1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《楼梯 栏杆 栏板（一）》</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13J933-2</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《变形缝建筑构造》</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2010浙G33</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《先张法预应力混凝土管桩》</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22G101-1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《混凝土结构施工图 平面整体表示方法制图规则和构造详图》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16G101-1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《混凝土结构施工图 平面整体表示方法制图规则和构造详图》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2" w:type="dxa"/>
            <w:vAlign w:val="center"/>
          </w:tcPr>
          <w:p>
            <w:pPr>
              <w:pStyle w:val="15"/>
              <w:spacing w:line="440" w:lineRule="exact"/>
              <w:ind w:firstLine="480"/>
              <w:jc w:val="center"/>
              <w:rPr>
                <w:color w:val="auto"/>
                <w:kern w:val="2"/>
                <w:sz w:val="21"/>
                <w:szCs w:val="21"/>
                <w:highlight w:val="none"/>
              </w:rPr>
            </w:pPr>
          </w:p>
        </w:tc>
        <w:tc>
          <w:tcPr>
            <w:tcW w:w="175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18G901-1</w:t>
            </w:r>
          </w:p>
        </w:tc>
        <w:tc>
          <w:tcPr>
            <w:tcW w:w="4480" w:type="dxa"/>
            <w:vAlign w:val="center"/>
          </w:tcPr>
          <w:p>
            <w:pPr>
              <w:widowControl/>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《混凝土结构施工钢筋排布规则与构造详图》</w:t>
            </w:r>
          </w:p>
        </w:tc>
        <w:tc>
          <w:tcPr>
            <w:tcW w:w="840" w:type="dxa"/>
          </w:tcPr>
          <w:p>
            <w:pPr>
              <w:pStyle w:val="15"/>
              <w:spacing w:line="440" w:lineRule="exact"/>
              <w:ind w:firstLine="480"/>
              <w:jc w:val="center"/>
              <w:rPr>
                <w:color w:val="auto"/>
                <w:kern w:val="2"/>
                <w:sz w:val="24"/>
                <w:szCs w:val="24"/>
                <w:highlight w:val="none"/>
              </w:rPr>
            </w:pPr>
          </w:p>
        </w:tc>
        <w:tc>
          <w:tcPr>
            <w:tcW w:w="1377" w:type="dxa"/>
          </w:tcPr>
          <w:p>
            <w:pPr>
              <w:pStyle w:val="15"/>
              <w:spacing w:line="440" w:lineRule="exact"/>
              <w:ind w:firstLine="480"/>
              <w:jc w:val="center"/>
              <w:rPr>
                <w:color w:val="auto"/>
                <w:kern w:val="2"/>
                <w:sz w:val="24"/>
                <w:szCs w:val="24"/>
                <w:highlight w:val="none"/>
              </w:rPr>
            </w:pPr>
          </w:p>
        </w:tc>
      </w:tr>
    </w:tbl>
    <w:p>
      <w:pPr>
        <w:pStyle w:val="10"/>
        <w:kinsoku w:val="0"/>
        <w:ind w:left="0"/>
        <w:jc w:val="center"/>
        <w:rPr>
          <w:rFonts w:ascii="Microsoft JhengHei" w:eastAsia="Microsoft JhengHei"/>
          <w:b/>
          <w:bCs/>
          <w:color w:val="auto"/>
          <w:sz w:val="20"/>
          <w:szCs w:val="20"/>
          <w:highlight w:val="none"/>
        </w:rPr>
      </w:pPr>
    </w:p>
    <w:p>
      <w:pPr>
        <w:pStyle w:val="11"/>
        <w:ind w:firstLine="200"/>
        <w:rPr>
          <w:rFonts w:ascii="Microsoft JhengHei" w:eastAsia="Microsoft JhengHei"/>
          <w:b/>
          <w:bCs/>
          <w:color w:val="auto"/>
          <w:sz w:val="20"/>
          <w:szCs w:val="20"/>
          <w:highlight w:val="none"/>
        </w:rPr>
      </w:pPr>
    </w:p>
    <w:p>
      <w:pPr>
        <w:pStyle w:val="3"/>
        <w:rPr>
          <w:rFonts w:ascii="黑体" w:hAnsi="黑体"/>
          <w:b/>
          <w:bCs w:val="0"/>
          <w:color w:val="auto"/>
          <w:highlight w:val="none"/>
        </w:rPr>
      </w:pPr>
      <w:r>
        <w:rPr>
          <w:rFonts w:hint="eastAsia" w:ascii="黑体" w:hAnsi="黑体"/>
          <w:b/>
          <w:bCs w:val="0"/>
          <w:color w:val="auto"/>
          <w:highlight w:val="none"/>
        </w:rPr>
        <w:t>第八章投标文件格式</w:t>
      </w:r>
      <w:bookmarkEnd w:id="718"/>
    </w:p>
    <w:p>
      <w:pPr>
        <w:pStyle w:val="3"/>
        <w:rPr>
          <w:b/>
          <w:color w:val="auto"/>
          <w:highlight w:val="none"/>
        </w:rPr>
      </w:pPr>
      <w:r>
        <w:rPr>
          <w:rFonts w:hint="eastAsia" w:hAnsi="宋体"/>
          <w:b/>
          <w:bCs w:val="0"/>
          <w:color w:val="auto"/>
          <w:sz w:val="36"/>
          <w:szCs w:val="36"/>
          <w:highlight w:val="none"/>
        </w:rPr>
        <w:t>目录</w:t>
      </w:r>
    </w:p>
    <w:p>
      <w:pPr>
        <w:pStyle w:val="15"/>
        <w:spacing w:line="360" w:lineRule="auto"/>
        <w:ind w:firstLine="602"/>
        <w:jc w:val="center"/>
        <w:rPr>
          <w:b/>
          <w:bCs/>
          <w:color w:val="auto"/>
          <w:sz w:val="30"/>
          <w:szCs w:val="30"/>
          <w:highlight w:val="none"/>
        </w:rPr>
      </w:pPr>
    </w:p>
    <w:p>
      <w:pPr>
        <w:pStyle w:val="15"/>
        <w:spacing w:line="480" w:lineRule="auto"/>
        <w:ind w:firstLine="708" w:firstLineChars="253"/>
        <w:rPr>
          <w:color w:val="auto"/>
          <w:sz w:val="28"/>
          <w:szCs w:val="28"/>
          <w:highlight w:val="none"/>
        </w:rPr>
      </w:pPr>
      <w:r>
        <w:rPr>
          <w:rFonts w:hint="eastAsia"/>
          <w:color w:val="auto"/>
          <w:sz w:val="28"/>
          <w:szCs w:val="28"/>
          <w:highlight w:val="none"/>
        </w:rPr>
        <w:t xml:space="preserve">1. </w:t>
      </w:r>
      <w:r>
        <w:rPr>
          <w:rFonts w:hint="eastAsia" w:hAnsi="宋体"/>
          <w:color w:val="auto"/>
          <w:sz w:val="28"/>
          <w:szCs w:val="28"/>
          <w:highlight w:val="none"/>
        </w:rPr>
        <w:t>投标文件商务标格式</w:t>
      </w:r>
    </w:p>
    <w:p>
      <w:pPr>
        <w:pStyle w:val="15"/>
        <w:spacing w:line="480" w:lineRule="auto"/>
        <w:ind w:firstLine="708" w:firstLineChars="253"/>
        <w:rPr>
          <w:color w:val="auto"/>
          <w:sz w:val="28"/>
          <w:szCs w:val="28"/>
          <w:highlight w:val="none"/>
        </w:rPr>
      </w:pPr>
      <w:r>
        <w:rPr>
          <w:rFonts w:hint="eastAsia"/>
          <w:color w:val="auto"/>
          <w:sz w:val="28"/>
          <w:szCs w:val="28"/>
          <w:highlight w:val="none"/>
        </w:rPr>
        <w:t xml:space="preserve">2. </w:t>
      </w:r>
      <w:r>
        <w:rPr>
          <w:rFonts w:hint="eastAsia" w:hAnsi="宋体"/>
          <w:color w:val="auto"/>
          <w:sz w:val="28"/>
          <w:szCs w:val="28"/>
          <w:highlight w:val="none"/>
        </w:rPr>
        <w:t>投标文件技术标格式</w:t>
      </w:r>
    </w:p>
    <w:p>
      <w:pPr>
        <w:pStyle w:val="15"/>
        <w:spacing w:line="480" w:lineRule="auto"/>
        <w:ind w:firstLine="708" w:firstLineChars="253"/>
        <w:rPr>
          <w:color w:val="auto"/>
          <w:sz w:val="28"/>
          <w:szCs w:val="28"/>
          <w:highlight w:val="none"/>
        </w:rPr>
      </w:pPr>
      <w:r>
        <w:rPr>
          <w:rFonts w:hint="eastAsia"/>
          <w:color w:val="auto"/>
          <w:sz w:val="28"/>
          <w:szCs w:val="28"/>
          <w:highlight w:val="none"/>
        </w:rPr>
        <w:t xml:space="preserve">3. </w:t>
      </w:r>
      <w:r>
        <w:rPr>
          <w:rFonts w:hint="eastAsia" w:hAnsi="宋体"/>
          <w:color w:val="auto"/>
          <w:sz w:val="28"/>
          <w:szCs w:val="28"/>
          <w:highlight w:val="none"/>
        </w:rPr>
        <w:t>投标文件资信标格式</w:t>
      </w:r>
    </w:p>
    <w:p>
      <w:pPr>
        <w:pStyle w:val="15"/>
        <w:spacing w:line="480" w:lineRule="auto"/>
        <w:ind w:firstLine="708" w:firstLineChars="253"/>
        <w:rPr>
          <w:color w:val="auto"/>
          <w:sz w:val="28"/>
          <w:szCs w:val="28"/>
          <w:highlight w:val="none"/>
        </w:rPr>
      </w:pPr>
      <w:r>
        <w:rPr>
          <w:rFonts w:hint="eastAsia"/>
          <w:color w:val="auto"/>
          <w:sz w:val="28"/>
          <w:szCs w:val="28"/>
          <w:highlight w:val="none"/>
        </w:rPr>
        <w:t xml:space="preserve">4. </w:t>
      </w:r>
      <w:r>
        <w:rPr>
          <w:rFonts w:hint="eastAsia" w:hAnsi="宋体"/>
          <w:color w:val="auto"/>
          <w:sz w:val="28"/>
          <w:szCs w:val="28"/>
          <w:highlight w:val="none"/>
        </w:rPr>
        <w:t>投标文件资格审查资料格式</w:t>
      </w:r>
    </w:p>
    <w:p>
      <w:pPr>
        <w:pStyle w:val="15"/>
        <w:jc w:val="center"/>
        <w:rPr>
          <w:rFonts w:ascii="Microsoft JhengHei" w:eastAsia="Microsoft JhengHei"/>
          <w:b/>
          <w:bCs/>
          <w:color w:val="auto"/>
          <w:sz w:val="24"/>
          <w:szCs w:val="24"/>
          <w:highlight w:val="none"/>
        </w:rPr>
      </w:pPr>
      <w:r>
        <w:rPr>
          <w:rFonts w:hint="eastAsia" w:ascii="Microsoft JhengHei" w:eastAsia="Microsoft JhengHei"/>
          <w:b/>
          <w:bCs/>
          <w:color w:val="auto"/>
          <w:sz w:val="24"/>
          <w:szCs w:val="24"/>
          <w:highlight w:val="none"/>
        </w:rPr>
        <w:br w:type="page"/>
      </w:r>
    </w:p>
    <w:p>
      <w:pPr>
        <w:pStyle w:val="15"/>
        <w:jc w:val="center"/>
        <w:rPr>
          <w:rFonts w:ascii="Microsoft JhengHei" w:eastAsia="Microsoft JhengHei"/>
          <w:b/>
          <w:bCs/>
          <w:color w:val="auto"/>
          <w:sz w:val="24"/>
          <w:szCs w:val="24"/>
          <w:highlight w:val="none"/>
        </w:rPr>
      </w:pPr>
    </w:p>
    <w:p>
      <w:pPr>
        <w:pStyle w:val="15"/>
        <w:jc w:val="center"/>
        <w:rPr>
          <w:color w:val="auto"/>
          <w:sz w:val="84"/>
          <w:szCs w:val="84"/>
          <w:highlight w:val="none"/>
        </w:rPr>
      </w:pPr>
      <w:r>
        <w:rPr>
          <w:rFonts w:hint="eastAsia" w:hAnsi="宋体"/>
          <w:color w:val="auto"/>
          <w:sz w:val="84"/>
          <w:szCs w:val="84"/>
          <w:highlight w:val="none"/>
        </w:rPr>
        <w:t>建设工程施工投标文件</w:t>
      </w:r>
    </w:p>
    <w:p>
      <w:pPr>
        <w:pStyle w:val="15"/>
        <w:jc w:val="center"/>
        <w:rPr>
          <w:color w:val="auto"/>
          <w:sz w:val="36"/>
          <w:szCs w:val="36"/>
          <w:highlight w:val="none"/>
        </w:rPr>
      </w:pPr>
    </w:p>
    <w:p>
      <w:pPr>
        <w:pStyle w:val="15"/>
        <w:jc w:val="center"/>
        <w:rPr>
          <w:color w:val="auto"/>
          <w:sz w:val="36"/>
          <w:szCs w:val="36"/>
          <w:highlight w:val="none"/>
        </w:rPr>
      </w:pPr>
    </w:p>
    <w:p>
      <w:pPr>
        <w:pStyle w:val="15"/>
        <w:jc w:val="center"/>
        <w:rPr>
          <w:color w:val="auto"/>
          <w:sz w:val="36"/>
          <w:szCs w:val="36"/>
          <w:highlight w:val="none"/>
        </w:rPr>
      </w:pPr>
    </w:p>
    <w:p>
      <w:pPr>
        <w:pStyle w:val="15"/>
        <w:ind w:firstLine="480"/>
        <w:jc w:val="center"/>
        <w:rPr>
          <w:rFonts w:hAnsi="宋体"/>
          <w:color w:val="auto"/>
          <w:sz w:val="32"/>
          <w:szCs w:val="32"/>
          <w:highlight w:val="none"/>
        </w:rPr>
      </w:pPr>
    </w:p>
    <w:p>
      <w:pPr>
        <w:pStyle w:val="15"/>
        <w:ind w:firstLine="560"/>
        <w:jc w:val="left"/>
        <w:rPr>
          <w:rFonts w:hAnsi="宋体"/>
          <w:color w:val="auto"/>
          <w:sz w:val="32"/>
          <w:szCs w:val="32"/>
          <w:highlight w:val="none"/>
        </w:rPr>
      </w:pPr>
      <w:r>
        <w:rPr>
          <w:rFonts w:hint="eastAsia" w:hAnsi="宋体"/>
          <w:color w:val="auto"/>
          <w:sz w:val="32"/>
          <w:szCs w:val="32"/>
          <w:highlight w:val="none"/>
        </w:rPr>
        <w:t>招标编号:________________</w:t>
      </w:r>
      <w:r>
        <w:rPr>
          <w:rFonts w:hint="eastAsia" w:hAnsi="宋体"/>
          <w:color w:val="auto"/>
          <w:sz w:val="32"/>
          <w:szCs w:val="32"/>
          <w:highlight w:val="none"/>
          <w:u w:val="single"/>
        </w:rPr>
        <w:t xml:space="preserve">          </w:t>
      </w:r>
      <w:r>
        <w:rPr>
          <w:rFonts w:hint="eastAsia" w:hAnsi="宋体"/>
          <w:color w:val="auto"/>
          <w:sz w:val="32"/>
          <w:szCs w:val="32"/>
          <w:highlight w:val="none"/>
        </w:rPr>
        <w:t>___________</w:t>
      </w:r>
    </w:p>
    <w:p>
      <w:pPr>
        <w:pStyle w:val="15"/>
        <w:ind w:firstLine="560"/>
        <w:jc w:val="left"/>
        <w:rPr>
          <w:rFonts w:hAnsi="宋体"/>
          <w:color w:val="auto"/>
          <w:sz w:val="32"/>
          <w:szCs w:val="32"/>
          <w:highlight w:val="none"/>
        </w:rPr>
      </w:pPr>
    </w:p>
    <w:p>
      <w:pPr>
        <w:pStyle w:val="15"/>
        <w:ind w:firstLine="560"/>
        <w:jc w:val="left"/>
        <w:rPr>
          <w:rFonts w:hAnsi="宋体"/>
          <w:color w:val="auto"/>
          <w:sz w:val="32"/>
          <w:szCs w:val="32"/>
          <w:highlight w:val="none"/>
        </w:rPr>
      </w:pPr>
    </w:p>
    <w:p>
      <w:pPr>
        <w:pStyle w:val="15"/>
        <w:ind w:firstLine="480" w:firstLineChars="150"/>
        <w:jc w:val="left"/>
        <w:rPr>
          <w:rFonts w:hAnsi="宋体"/>
          <w:color w:val="auto"/>
          <w:sz w:val="32"/>
          <w:szCs w:val="32"/>
          <w:highlight w:val="none"/>
        </w:rPr>
      </w:pPr>
      <w:r>
        <w:rPr>
          <w:rFonts w:hint="eastAsia" w:hAnsi="宋体"/>
          <w:color w:val="auto"/>
          <w:sz w:val="32"/>
          <w:szCs w:val="32"/>
          <w:highlight w:val="none"/>
        </w:rPr>
        <w:t>工程名称:</w:t>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softHyphen/>
      </w:r>
      <w:r>
        <w:rPr>
          <w:rFonts w:hint="eastAsia" w:hAnsi="宋体"/>
          <w:color w:val="auto"/>
          <w:sz w:val="32"/>
          <w:szCs w:val="32"/>
          <w:highlight w:val="none"/>
        </w:rPr>
        <w:t xml:space="preserve">_______________________________________ </w:t>
      </w:r>
    </w:p>
    <w:p>
      <w:pPr>
        <w:pStyle w:val="15"/>
        <w:ind w:firstLine="640"/>
        <w:jc w:val="left"/>
        <w:rPr>
          <w:rFonts w:hAnsi="宋体"/>
          <w:color w:val="auto"/>
          <w:sz w:val="32"/>
          <w:szCs w:val="32"/>
          <w:highlight w:val="none"/>
        </w:rPr>
      </w:pPr>
    </w:p>
    <w:p>
      <w:pPr>
        <w:pStyle w:val="15"/>
        <w:ind w:firstLine="640"/>
        <w:jc w:val="left"/>
        <w:rPr>
          <w:rFonts w:hAnsi="宋体"/>
          <w:color w:val="auto"/>
          <w:sz w:val="32"/>
          <w:szCs w:val="32"/>
          <w:highlight w:val="none"/>
        </w:rPr>
      </w:pPr>
    </w:p>
    <w:p>
      <w:pPr>
        <w:pStyle w:val="15"/>
        <w:ind w:firstLine="480" w:firstLineChars="150"/>
        <w:jc w:val="left"/>
        <w:rPr>
          <w:rFonts w:hAnsi="宋体"/>
          <w:color w:val="auto"/>
          <w:sz w:val="32"/>
          <w:szCs w:val="32"/>
          <w:highlight w:val="none"/>
          <w:u w:val="single"/>
        </w:rPr>
      </w:pPr>
      <w:r>
        <w:rPr>
          <w:rFonts w:hint="eastAsia" w:hAnsi="宋体"/>
          <w:color w:val="auto"/>
          <w:sz w:val="32"/>
          <w:szCs w:val="32"/>
          <w:highlight w:val="none"/>
        </w:rPr>
        <w:t xml:space="preserve">投标人: </w:t>
      </w:r>
      <w:r>
        <w:rPr>
          <w:rFonts w:hint="eastAsia" w:hAnsi="宋体"/>
          <w:color w:val="auto"/>
          <w:sz w:val="32"/>
          <w:szCs w:val="32"/>
          <w:highlight w:val="none"/>
          <w:u w:val="single"/>
        </w:rPr>
        <w:t xml:space="preserve">                               (单位盖章)</w:t>
      </w:r>
    </w:p>
    <w:p>
      <w:pPr>
        <w:pStyle w:val="15"/>
        <w:ind w:firstLine="480" w:firstLineChars="150"/>
        <w:jc w:val="left"/>
        <w:rPr>
          <w:rFonts w:hAnsi="宋体"/>
          <w:color w:val="auto"/>
          <w:sz w:val="32"/>
          <w:szCs w:val="32"/>
          <w:highlight w:val="none"/>
          <w:u w:val="single"/>
        </w:rPr>
      </w:pPr>
    </w:p>
    <w:p>
      <w:pPr>
        <w:pStyle w:val="15"/>
        <w:ind w:firstLine="480" w:firstLineChars="150"/>
        <w:jc w:val="left"/>
        <w:rPr>
          <w:rFonts w:hAnsi="宋体"/>
          <w:color w:val="auto"/>
          <w:sz w:val="32"/>
          <w:szCs w:val="32"/>
          <w:highlight w:val="none"/>
          <w:u w:val="single"/>
        </w:rPr>
      </w:pPr>
    </w:p>
    <w:p>
      <w:pPr>
        <w:pStyle w:val="15"/>
        <w:ind w:firstLine="480" w:firstLineChars="150"/>
        <w:jc w:val="left"/>
        <w:rPr>
          <w:rFonts w:hAnsi="宋体"/>
          <w:color w:val="auto"/>
          <w:sz w:val="32"/>
          <w:szCs w:val="32"/>
          <w:highlight w:val="none"/>
          <w:u w:val="single"/>
        </w:rPr>
      </w:pPr>
      <w:r>
        <w:rPr>
          <w:rFonts w:hint="eastAsia" w:hAnsi="宋体"/>
          <w:color w:val="auto"/>
          <w:sz w:val="32"/>
          <w:szCs w:val="32"/>
          <w:highlight w:val="none"/>
        </w:rPr>
        <w:t>法定代表人或其委托代理人:</w:t>
      </w:r>
      <w:r>
        <w:rPr>
          <w:rFonts w:hint="eastAsia" w:hAnsi="宋体"/>
          <w:color w:val="auto"/>
          <w:sz w:val="32"/>
          <w:szCs w:val="32"/>
          <w:highlight w:val="none"/>
          <w:u w:val="single"/>
        </w:rPr>
        <w:t xml:space="preserve">            (签字或盖章)</w:t>
      </w:r>
    </w:p>
    <w:p>
      <w:pPr>
        <w:pStyle w:val="15"/>
        <w:spacing w:after="120" w:afterLines="50" w:line="480" w:lineRule="auto"/>
        <w:rPr>
          <w:rFonts w:hAnsi="宋体"/>
          <w:color w:val="auto"/>
          <w:sz w:val="32"/>
          <w:szCs w:val="32"/>
          <w:highlight w:val="none"/>
        </w:rPr>
      </w:pPr>
    </w:p>
    <w:p>
      <w:pPr>
        <w:pStyle w:val="15"/>
        <w:spacing w:after="120" w:afterLines="50" w:line="480" w:lineRule="auto"/>
        <w:ind w:firstLine="640"/>
        <w:jc w:val="center"/>
        <w:rPr>
          <w:rFonts w:hAnsi="宋体"/>
          <w:color w:val="auto"/>
          <w:sz w:val="32"/>
          <w:szCs w:val="32"/>
          <w:highlight w:val="none"/>
        </w:rPr>
      </w:pPr>
      <w:r>
        <w:rPr>
          <w:rFonts w:hint="eastAsia" w:hAnsi="宋体"/>
          <w:color w:val="auto"/>
          <w:sz w:val="32"/>
          <w:szCs w:val="32"/>
          <w:highlight w:val="none"/>
        </w:rPr>
        <w:t>日期:</w:t>
      </w:r>
      <w:r>
        <w:rPr>
          <w:rFonts w:hint="eastAsia" w:hAnsi="宋体"/>
          <w:color w:val="auto"/>
          <w:sz w:val="32"/>
          <w:szCs w:val="32"/>
          <w:highlight w:val="none"/>
          <w:u w:val="single"/>
        </w:rPr>
        <w:t xml:space="preserve">            </w:t>
      </w:r>
      <w:r>
        <w:rPr>
          <w:rFonts w:hint="eastAsia" w:hAnsi="宋体"/>
          <w:color w:val="auto"/>
          <w:sz w:val="32"/>
          <w:szCs w:val="32"/>
          <w:highlight w:val="none"/>
        </w:rPr>
        <w:t>年_____月______日</w:t>
      </w: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pStyle w:val="15"/>
        <w:spacing w:line="440" w:lineRule="exact"/>
        <w:jc w:val="center"/>
        <w:rPr>
          <w:color w:val="auto"/>
          <w:sz w:val="24"/>
          <w:szCs w:val="24"/>
          <w:highlight w:val="none"/>
        </w:rPr>
      </w:pPr>
    </w:p>
    <w:p>
      <w:pPr>
        <w:jc w:val="center"/>
        <w:rPr>
          <w:b/>
          <w:bCs/>
          <w:color w:val="auto"/>
          <w:sz w:val="72"/>
          <w:szCs w:val="72"/>
          <w:highlight w:val="none"/>
        </w:rPr>
      </w:pPr>
      <w:r>
        <w:rPr>
          <w:rFonts w:hint="eastAsia" w:ascii="宋体" w:hAnsi="宋体"/>
          <w:b/>
          <w:bCs/>
          <w:color w:val="auto"/>
          <w:sz w:val="72"/>
          <w:szCs w:val="72"/>
          <w:highlight w:val="none"/>
        </w:rPr>
        <w:t>施工投标文件</w:t>
      </w:r>
    </w:p>
    <w:p>
      <w:pPr>
        <w:jc w:val="center"/>
        <w:rPr>
          <w:color w:val="auto"/>
          <w:sz w:val="36"/>
          <w:szCs w:val="36"/>
          <w:highlight w:val="none"/>
        </w:rPr>
      </w:pPr>
      <w:r>
        <w:rPr>
          <w:rFonts w:hint="eastAsia" w:ascii="宋体" w:hAnsi="宋体"/>
          <w:color w:val="auto"/>
          <w:sz w:val="36"/>
          <w:szCs w:val="36"/>
          <w:highlight w:val="none"/>
        </w:rPr>
        <w:t>（封面）</w:t>
      </w:r>
    </w:p>
    <w:p>
      <w:pPr>
        <w:rPr>
          <w:color w:val="auto"/>
          <w:highlight w:val="none"/>
        </w:rPr>
      </w:pPr>
    </w:p>
    <w:p>
      <w:pPr>
        <w:rPr>
          <w:color w:val="auto"/>
          <w:sz w:val="32"/>
          <w:szCs w:val="32"/>
          <w:highlight w:val="none"/>
        </w:rPr>
      </w:pPr>
    </w:p>
    <w:p>
      <w:pPr>
        <w:rPr>
          <w:color w:val="auto"/>
          <w:sz w:val="32"/>
          <w:szCs w:val="32"/>
          <w:highlight w:val="none"/>
        </w:rPr>
      </w:pPr>
    </w:p>
    <w:p>
      <w:pPr>
        <w:spacing w:after="360" w:afterLines="150" w:line="480" w:lineRule="auto"/>
        <w:ind w:firstLine="627" w:firstLineChars="196"/>
        <w:rPr>
          <w:rFonts w:ascii="宋体" w:hAnsi="宋体"/>
          <w:color w:val="auto"/>
          <w:sz w:val="32"/>
          <w:szCs w:val="32"/>
          <w:highlight w:val="none"/>
          <w:u w:val="single"/>
        </w:rPr>
      </w:pPr>
      <w:r>
        <w:rPr>
          <w:rFonts w:hint="eastAsia" w:ascii="宋体" w:hAnsi="宋体"/>
          <w:color w:val="auto"/>
          <w:sz w:val="32"/>
          <w:szCs w:val="32"/>
          <w:highlight w:val="none"/>
        </w:rPr>
        <w:t>工程名称：</w:t>
      </w:r>
      <w:r>
        <w:rPr>
          <w:rFonts w:hint="eastAsia" w:ascii="宋体" w:hAnsi="宋体"/>
          <w:color w:val="auto"/>
          <w:sz w:val="32"/>
          <w:szCs w:val="32"/>
          <w:highlight w:val="none"/>
          <w:u w:val="single"/>
        </w:rPr>
        <w:t xml:space="preserve">                                   </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投标文件内容：</w:t>
      </w:r>
      <w:r>
        <w:rPr>
          <w:rFonts w:hint="eastAsia" w:ascii="宋体" w:hAnsi="宋体"/>
          <w:color w:val="auto"/>
          <w:sz w:val="32"/>
          <w:szCs w:val="32"/>
          <w:highlight w:val="none"/>
          <w:u w:val="single"/>
        </w:rPr>
        <w:t xml:space="preserve">      投标文件商务标          </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投标人：</w:t>
      </w:r>
      <w:r>
        <w:rPr>
          <w:rFonts w:hint="eastAsia" w:ascii="宋体" w:hAnsi="宋体"/>
          <w:color w:val="auto"/>
          <w:sz w:val="32"/>
          <w:szCs w:val="32"/>
          <w:highlight w:val="none"/>
          <w:u w:val="single"/>
        </w:rPr>
        <w:t xml:space="preserve">                         （单位盖章）</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法定代表人或委托代理人：</w:t>
      </w:r>
      <w:r>
        <w:rPr>
          <w:rFonts w:hint="eastAsia" w:ascii="宋体" w:hAnsi="宋体"/>
          <w:color w:val="auto"/>
          <w:sz w:val="32"/>
          <w:szCs w:val="32"/>
          <w:highlight w:val="none"/>
          <w:u w:val="single"/>
        </w:rPr>
        <w:t xml:space="preserve">       （</w:t>
      </w:r>
      <w:r>
        <w:rPr>
          <w:rFonts w:hint="eastAsia" w:ascii="宋体" w:hAnsi="宋体"/>
          <w:color w:val="auto"/>
          <w:highlight w:val="none"/>
          <w:u w:val="single"/>
        </w:rPr>
        <w:t>签字或盖章</w:t>
      </w:r>
      <w:r>
        <w:rPr>
          <w:rFonts w:hint="eastAsia" w:ascii="宋体" w:hAnsi="宋体"/>
          <w:color w:val="auto"/>
          <w:sz w:val="32"/>
          <w:szCs w:val="32"/>
          <w:highlight w:val="none"/>
          <w:u w:val="single"/>
        </w:rPr>
        <w:t>）</w:t>
      </w:r>
    </w:p>
    <w:p>
      <w:pPr>
        <w:spacing w:after="360" w:afterLines="150" w:line="480" w:lineRule="auto"/>
        <w:ind w:firstLine="627" w:firstLineChars="196"/>
        <w:rPr>
          <w:rFonts w:ascii="宋体" w:hAnsi="宋体"/>
          <w:color w:val="auto"/>
          <w:sz w:val="32"/>
          <w:szCs w:val="32"/>
          <w:highlight w:val="none"/>
        </w:rPr>
      </w:pPr>
    </w:p>
    <w:p>
      <w:pPr>
        <w:spacing w:after="360" w:afterLines="150" w:line="480" w:lineRule="auto"/>
        <w:ind w:firstLine="627" w:firstLineChars="196"/>
        <w:rPr>
          <w:rFonts w:ascii="宋体" w:hAnsi="宋体"/>
          <w:color w:val="auto"/>
          <w:sz w:val="32"/>
          <w:szCs w:val="32"/>
          <w:highlight w:val="none"/>
        </w:rPr>
      </w:pPr>
    </w:p>
    <w:p>
      <w:pPr>
        <w:spacing w:after="360" w:afterLines="150" w:line="480" w:lineRule="auto"/>
        <w:ind w:firstLine="627" w:firstLineChars="196"/>
        <w:jc w:val="center"/>
        <w:rPr>
          <w:color w:val="auto"/>
          <w:sz w:val="32"/>
          <w:szCs w:val="32"/>
          <w:highlight w:val="none"/>
        </w:rPr>
      </w:pPr>
      <w:r>
        <w:rPr>
          <w:rFonts w:hint="eastAsia" w:ascii="宋体" w:hAnsi="宋体"/>
          <w:color w:val="auto"/>
          <w:sz w:val="32"/>
          <w:szCs w:val="32"/>
          <w:highlight w:val="none"/>
        </w:rPr>
        <w:t>日期：</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p>
    <w:p>
      <w:pPr>
        <w:pStyle w:val="15"/>
        <w:spacing w:line="360" w:lineRule="auto"/>
        <w:ind w:firstLine="602"/>
        <w:jc w:val="center"/>
        <w:rPr>
          <w:rFonts w:hAnsi="宋体"/>
          <w:b/>
          <w:bCs/>
          <w:color w:val="auto"/>
          <w:sz w:val="36"/>
          <w:szCs w:val="36"/>
          <w:highlight w:val="none"/>
        </w:rPr>
      </w:pPr>
    </w:p>
    <w:p>
      <w:pPr>
        <w:pStyle w:val="15"/>
        <w:spacing w:line="360" w:lineRule="auto"/>
        <w:ind w:firstLine="602"/>
        <w:jc w:val="center"/>
        <w:rPr>
          <w:rFonts w:hAnsi="宋体"/>
          <w:b/>
          <w:bCs/>
          <w:color w:val="auto"/>
          <w:sz w:val="36"/>
          <w:szCs w:val="36"/>
          <w:highlight w:val="none"/>
        </w:rPr>
      </w:pPr>
    </w:p>
    <w:p>
      <w:pPr>
        <w:pStyle w:val="15"/>
        <w:spacing w:line="360" w:lineRule="auto"/>
        <w:ind w:firstLine="602"/>
        <w:jc w:val="center"/>
        <w:rPr>
          <w:rFonts w:hAnsi="宋体"/>
          <w:b/>
          <w:bCs/>
          <w:color w:val="auto"/>
          <w:sz w:val="36"/>
          <w:szCs w:val="36"/>
          <w:highlight w:val="none"/>
        </w:rPr>
      </w:pPr>
    </w:p>
    <w:p>
      <w:pPr>
        <w:pStyle w:val="15"/>
        <w:spacing w:line="360" w:lineRule="auto"/>
        <w:ind w:firstLine="602"/>
        <w:jc w:val="center"/>
        <w:rPr>
          <w:rFonts w:hAnsi="宋体"/>
          <w:b/>
          <w:bCs/>
          <w:color w:val="auto"/>
          <w:sz w:val="36"/>
          <w:szCs w:val="36"/>
          <w:highlight w:val="none"/>
        </w:rPr>
      </w:pPr>
    </w:p>
    <w:p>
      <w:pPr>
        <w:pStyle w:val="15"/>
        <w:spacing w:line="360" w:lineRule="auto"/>
        <w:ind w:firstLine="602"/>
        <w:jc w:val="center"/>
        <w:rPr>
          <w:rFonts w:hAnsi="宋体"/>
          <w:b/>
          <w:bCs/>
          <w:color w:val="auto"/>
          <w:sz w:val="36"/>
          <w:szCs w:val="36"/>
          <w:highlight w:val="none"/>
        </w:rPr>
      </w:pPr>
    </w:p>
    <w:p>
      <w:pPr>
        <w:pStyle w:val="15"/>
        <w:spacing w:line="360" w:lineRule="auto"/>
        <w:ind w:firstLine="602"/>
        <w:jc w:val="center"/>
        <w:rPr>
          <w:b/>
          <w:bCs/>
          <w:color w:val="auto"/>
          <w:sz w:val="36"/>
          <w:szCs w:val="36"/>
          <w:highlight w:val="none"/>
        </w:rPr>
      </w:pPr>
      <w:r>
        <w:rPr>
          <w:rFonts w:hint="eastAsia" w:hAnsi="宋体"/>
          <w:b/>
          <w:bCs/>
          <w:color w:val="auto"/>
          <w:sz w:val="36"/>
          <w:szCs w:val="36"/>
          <w:highlight w:val="none"/>
        </w:rPr>
        <w:t>目录</w:t>
      </w:r>
    </w:p>
    <w:p>
      <w:pPr>
        <w:autoSpaceDN/>
        <w:spacing w:line="360" w:lineRule="auto"/>
        <w:ind w:left="560"/>
        <w:jc w:val="both"/>
        <w:rPr>
          <w:rFonts w:ascii="宋体" w:hAnsi="宋体"/>
          <w:color w:val="auto"/>
          <w:sz w:val="28"/>
          <w:szCs w:val="28"/>
          <w:highlight w:val="none"/>
        </w:rPr>
      </w:pPr>
    </w:p>
    <w:p>
      <w:pPr>
        <w:autoSpaceDN/>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1.投标函</w:t>
      </w:r>
    </w:p>
    <w:p>
      <w:pPr>
        <w:autoSpaceDN/>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2</w:t>
      </w:r>
      <w:r>
        <w:rPr>
          <w:rFonts w:hint="eastAsia" w:ascii="宋体" w:hAnsi="宋体" w:eastAsia="等线"/>
          <w:color w:val="auto"/>
          <w:sz w:val="28"/>
          <w:szCs w:val="28"/>
          <w:highlight w:val="none"/>
        </w:rPr>
        <w:t>.</w:t>
      </w:r>
      <w:r>
        <w:rPr>
          <w:rFonts w:hint="eastAsia" w:ascii="宋体" w:hAnsi="宋体"/>
          <w:color w:val="auto"/>
          <w:sz w:val="28"/>
          <w:szCs w:val="28"/>
          <w:highlight w:val="none"/>
        </w:rPr>
        <w:t>投标函附录</w:t>
      </w:r>
    </w:p>
    <w:p>
      <w:pPr>
        <w:autoSpaceDN/>
        <w:spacing w:line="360" w:lineRule="auto"/>
        <w:ind w:left="560"/>
        <w:jc w:val="both"/>
        <w:rPr>
          <w:rFonts w:ascii="宋体" w:hAnsi="宋体"/>
          <w:color w:val="auto"/>
          <w:sz w:val="28"/>
          <w:szCs w:val="28"/>
          <w:highlight w:val="none"/>
        </w:rPr>
      </w:pPr>
      <w:r>
        <w:rPr>
          <w:rFonts w:hint="eastAsia" w:ascii="宋体" w:hAnsi="宋体"/>
          <w:color w:val="auto"/>
          <w:sz w:val="28"/>
          <w:szCs w:val="28"/>
          <w:highlight w:val="none"/>
        </w:rPr>
        <w:t>3.投标总价封面</w:t>
      </w:r>
    </w:p>
    <w:p>
      <w:pPr>
        <w:autoSpaceDN/>
        <w:spacing w:line="360" w:lineRule="auto"/>
        <w:ind w:left="560"/>
        <w:jc w:val="both"/>
        <w:rPr>
          <w:rFonts w:ascii="宋体" w:hAnsi="宋体"/>
          <w:color w:val="auto"/>
          <w:sz w:val="28"/>
          <w:szCs w:val="28"/>
          <w:highlight w:val="none"/>
        </w:rPr>
      </w:pPr>
      <w:r>
        <w:rPr>
          <w:rFonts w:hint="eastAsia" w:ascii="宋体" w:hAnsi="宋体"/>
          <w:color w:val="auto"/>
          <w:sz w:val="28"/>
          <w:szCs w:val="28"/>
          <w:highlight w:val="none"/>
        </w:rPr>
        <w:t>4.工程量清单报价说明</w:t>
      </w:r>
    </w:p>
    <w:p>
      <w:pPr>
        <w:autoSpaceDN/>
        <w:spacing w:line="360" w:lineRule="auto"/>
        <w:ind w:left="560"/>
        <w:jc w:val="both"/>
        <w:rPr>
          <w:rFonts w:ascii="宋体" w:hAnsi="宋体"/>
          <w:color w:val="auto"/>
          <w:sz w:val="28"/>
          <w:szCs w:val="28"/>
          <w:highlight w:val="none"/>
        </w:rPr>
      </w:pPr>
      <w:r>
        <w:rPr>
          <w:rFonts w:hint="eastAsia" w:ascii="宋体" w:hAnsi="宋体"/>
          <w:color w:val="auto"/>
          <w:sz w:val="28"/>
          <w:szCs w:val="28"/>
          <w:highlight w:val="none"/>
        </w:rPr>
        <w:t>5.已标明价格的工程量清单</w:t>
      </w:r>
    </w:p>
    <w:p>
      <w:pPr>
        <w:autoSpaceDN/>
        <w:spacing w:line="360" w:lineRule="auto"/>
        <w:ind w:left="560"/>
        <w:jc w:val="both"/>
        <w:rPr>
          <w:rFonts w:ascii="宋体" w:hAnsi="宋体"/>
          <w:color w:val="auto"/>
          <w:sz w:val="28"/>
          <w:szCs w:val="28"/>
          <w:highlight w:val="none"/>
        </w:rPr>
      </w:pPr>
      <w:r>
        <w:rPr>
          <w:rFonts w:hint="eastAsia" w:ascii="宋体" w:hAnsi="宋体"/>
          <w:color w:val="auto"/>
          <w:sz w:val="28"/>
          <w:szCs w:val="28"/>
          <w:highlight w:val="none"/>
        </w:rPr>
        <w:t>6.招标文件要求投标人提交的其它投标资料（本项无表格，需要时由招标人用文字提出）</w:t>
      </w:r>
    </w:p>
    <w:p>
      <w:pPr>
        <w:pStyle w:val="29"/>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b/>
          <w:bCs/>
          <w:color w:val="auto"/>
          <w:sz w:val="32"/>
          <w:szCs w:val="32"/>
          <w:highlight w:val="none"/>
        </w:rPr>
      </w:pPr>
    </w:p>
    <w:p>
      <w:pPr>
        <w:spacing w:line="400" w:lineRule="exact"/>
        <w:jc w:val="center"/>
        <w:rPr>
          <w:rFonts w:ascii="宋体" w:hAnsi="宋体"/>
          <w:color w:val="auto"/>
          <w:highlight w:val="none"/>
          <w:u w:val="single"/>
        </w:rPr>
      </w:pPr>
      <w:r>
        <w:rPr>
          <w:b/>
          <w:bCs/>
          <w:color w:val="auto"/>
          <w:sz w:val="36"/>
          <w:szCs w:val="36"/>
          <w:highlight w:val="none"/>
        </w:rPr>
        <w:br w:type="page"/>
      </w:r>
      <w:r>
        <w:rPr>
          <w:rFonts w:hint="eastAsia" w:ascii="宋体" w:hAnsi="宋体"/>
          <w:b/>
          <w:bCs/>
          <w:color w:val="auto"/>
          <w:sz w:val="32"/>
          <w:szCs w:val="32"/>
          <w:highlight w:val="none"/>
        </w:rPr>
        <w:t>投标函</w:t>
      </w:r>
    </w:p>
    <w:p>
      <w:pPr>
        <w:snapToGrid w:val="0"/>
        <w:spacing w:line="360" w:lineRule="auto"/>
        <w:rPr>
          <w:rFonts w:ascii="宋体" w:hAnsi="宋体"/>
          <w:color w:val="auto"/>
          <w:highlight w:val="none"/>
        </w:rPr>
      </w:pPr>
      <w:r>
        <w:rPr>
          <w:rFonts w:hint="eastAsia" w:ascii="宋体" w:hAnsi="宋体"/>
          <w:color w:val="auto"/>
          <w:highlight w:val="none"/>
          <w:u w:val="single"/>
        </w:rPr>
        <w:t>（招标人名称）</w:t>
      </w:r>
      <w:r>
        <w:rPr>
          <w:rFonts w:hint="eastAsia" w:ascii="宋体" w:hAnsi="宋体"/>
          <w:color w:val="auto"/>
          <w:highlight w:val="none"/>
        </w:rPr>
        <w:t>:</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1.我方己仔细研究了贵方的招标编号为的</w:t>
      </w:r>
      <w:r>
        <w:rPr>
          <w:rFonts w:hint="eastAsia" w:ascii="宋体" w:hAnsi="宋体"/>
          <w:color w:val="auto"/>
          <w:highlight w:val="none"/>
          <w:u w:val="single"/>
        </w:rPr>
        <w:t xml:space="preserve">              （项目名称）</w:t>
      </w:r>
      <w:r>
        <w:rPr>
          <w:rFonts w:hint="eastAsia" w:ascii="宋体" w:hAnsi="宋体"/>
          <w:color w:val="auto"/>
          <w:highlight w:val="none"/>
        </w:rPr>
        <w:t>标段施工招标文件的全部内容，愿意以人民币（大写）</w:t>
      </w:r>
      <w:r>
        <w:rPr>
          <w:rFonts w:hint="eastAsia" w:ascii="宋体" w:hAnsi="宋体"/>
          <w:color w:val="auto"/>
          <w:highlight w:val="none"/>
          <w:u w:val="single"/>
        </w:rPr>
        <w:t xml:space="preserve">            </w:t>
      </w:r>
      <w:r>
        <w:rPr>
          <w:rFonts w:hint="eastAsia" w:ascii="宋体" w:hAnsi="宋体"/>
          <w:color w:val="auto"/>
          <w:highlight w:val="none"/>
        </w:rPr>
        <w:t>元（￥</w:t>
      </w:r>
      <w:r>
        <w:rPr>
          <w:rFonts w:hint="eastAsia" w:ascii="宋体" w:hAnsi="宋体"/>
          <w:color w:val="auto"/>
          <w:highlight w:val="none"/>
          <w:u w:val="single"/>
        </w:rPr>
        <w:t xml:space="preserve">        </w:t>
      </w:r>
      <w:r>
        <w:rPr>
          <w:rFonts w:hint="eastAsia" w:ascii="宋体" w:hAnsi="宋体"/>
          <w:color w:val="auto"/>
          <w:highlight w:val="none"/>
        </w:rPr>
        <w:t xml:space="preserve"> ）的投标总报价，项目负责人</w:t>
      </w:r>
      <w:r>
        <w:rPr>
          <w:rFonts w:hint="eastAsia" w:ascii="宋体" w:hAnsi="宋体"/>
          <w:color w:val="auto"/>
          <w:highlight w:val="none"/>
          <w:u w:val="single"/>
        </w:rPr>
        <w:t xml:space="preserve">            </w:t>
      </w:r>
      <w:r>
        <w:rPr>
          <w:rFonts w:hint="eastAsia" w:ascii="宋体" w:hAnsi="宋体"/>
          <w:color w:val="auto"/>
          <w:highlight w:val="none"/>
        </w:rPr>
        <w:t>，身份证号码</w:t>
      </w:r>
      <w:r>
        <w:rPr>
          <w:rFonts w:hint="eastAsia" w:ascii="宋体" w:hAnsi="宋体"/>
          <w:color w:val="auto"/>
          <w:highlight w:val="none"/>
          <w:u w:val="single"/>
        </w:rPr>
        <w:t xml:space="preserve">                      </w:t>
      </w:r>
      <w:r>
        <w:rPr>
          <w:rFonts w:hint="eastAsia" w:ascii="宋体" w:hAnsi="宋体"/>
          <w:color w:val="auto"/>
          <w:highlight w:val="none"/>
        </w:rPr>
        <w:t>，工期</w:t>
      </w:r>
      <w:r>
        <w:rPr>
          <w:rFonts w:hint="eastAsia" w:ascii="宋体" w:hAnsi="宋体"/>
          <w:color w:val="auto"/>
          <w:highlight w:val="none"/>
          <w:u w:val="single"/>
        </w:rPr>
        <w:t xml:space="preserve">                       </w:t>
      </w:r>
      <w:r>
        <w:rPr>
          <w:rFonts w:hint="eastAsia" w:ascii="宋体" w:hAnsi="宋体"/>
          <w:color w:val="auto"/>
          <w:highlight w:val="none"/>
        </w:rPr>
        <w:t>个日历天，按合同约定实施和完成承包工程，修补工程中的任何缺陷，符合现行国家有关工程施工验收规范和标准的</w:t>
      </w:r>
      <w:r>
        <w:rPr>
          <w:rFonts w:hint="eastAsia" w:ascii="宋体" w:hAnsi="宋体"/>
          <w:color w:val="auto"/>
          <w:highlight w:val="none"/>
          <w:u w:val="single"/>
        </w:rPr>
        <w:t xml:space="preserve"> </w:t>
      </w:r>
      <w:r>
        <w:rPr>
          <w:rFonts w:hint="eastAsia" w:ascii="宋体" w:hAnsi="宋体"/>
          <w:color w:val="auto"/>
          <w:highlight w:val="none"/>
          <w:u w:val="single"/>
          <w:lang w:eastAsia="zh-CN"/>
        </w:rPr>
        <w:t>合格</w:t>
      </w:r>
      <w:r>
        <w:rPr>
          <w:rFonts w:hint="eastAsia" w:ascii="宋体" w:hAnsi="宋体"/>
          <w:color w:val="auto"/>
          <w:highlight w:val="none"/>
          <w:u w:val="single"/>
        </w:rPr>
        <w:t xml:space="preserve"> </w:t>
      </w:r>
      <w:r>
        <w:rPr>
          <w:rFonts w:hint="eastAsia" w:ascii="宋体" w:hAnsi="宋体"/>
          <w:color w:val="auto"/>
          <w:highlight w:val="none"/>
        </w:rPr>
        <w:t>要求。</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2.我方承诺在投标有效期内不修改、撤销投标文件。</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3.我方承认投标函附录是我方投标函的组成部分。投标人投标函与投标函附录不一致的，以投标函为准；除招标文件另有规定外，投标函的投标报价与工程量清单汇总报价不一致的，以投标函报价为准。</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4.随同本投标函提交投标保证金一份，金额为人民币（大写）</w:t>
      </w:r>
      <w:r>
        <w:rPr>
          <w:rFonts w:hint="eastAsia" w:ascii="宋体" w:hAnsi="宋体"/>
          <w:color w:val="auto"/>
          <w:highlight w:val="none"/>
          <w:u w:val="single"/>
        </w:rPr>
        <w:t xml:space="preserve">            </w:t>
      </w:r>
      <w:r>
        <w:rPr>
          <w:rFonts w:hint="eastAsia" w:ascii="宋体" w:hAnsi="宋体"/>
          <w:color w:val="auto"/>
          <w:highlight w:val="none"/>
        </w:rPr>
        <w:t>元（￥</w:t>
      </w:r>
      <w:r>
        <w:rPr>
          <w:rFonts w:hint="eastAsia" w:ascii="宋体" w:hAnsi="宋体"/>
          <w:color w:val="auto"/>
          <w:highlight w:val="none"/>
          <w:u w:val="single"/>
        </w:rPr>
        <w:t xml:space="preserve">            </w:t>
      </w:r>
      <w:r>
        <w:rPr>
          <w:rFonts w:hint="eastAsia" w:ascii="宋体" w:hAnsi="宋体"/>
          <w:color w:val="auto"/>
          <w:highlight w:val="none"/>
        </w:rPr>
        <w:t>）。</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5.如我方中标：</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(l）我方承诺在收到中标通知书后，在中标通知书规定期限内与你方签订合同。</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(2）随同本投标函递交的投标函附录属于合同文件的组成部分。</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(3）我方承诺按照招标文件规定向你方递交履约担保。</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(4）我方承诺在合同约定的期限内完成并交付全部合同工程。</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6.我方在此声明，所递交的投标文件及有关资料内容完整、真实和准确，且不存在第二章“投标人须知”第1.4.4 项规定的任何一种情形。</w:t>
      </w:r>
    </w:p>
    <w:p>
      <w:pPr>
        <w:snapToGrid w:val="0"/>
        <w:spacing w:line="360" w:lineRule="auto"/>
        <w:ind w:firstLine="480" w:firstLineChars="200"/>
        <w:rPr>
          <w:rFonts w:ascii="宋体" w:hAnsi="宋体"/>
          <w:color w:val="auto"/>
          <w:highlight w:val="none"/>
        </w:rPr>
      </w:pPr>
      <w:r>
        <w:rPr>
          <w:rFonts w:hint="eastAsia" w:ascii="宋体" w:hAnsi="宋体"/>
          <w:color w:val="auto"/>
          <w:highlight w:val="none"/>
        </w:rPr>
        <w:t>7.</w:t>
      </w:r>
      <w:r>
        <w:rPr>
          <w:rFonts w:hint="eastAsia" w:ascii="宋体" w:hAnsi="宋体"/>
          <w:color w:val="auto"/>
          <w:highlight w:val="none"/>
          <w:u w:val="single"/>
        </w:rPr>
        <w:t>（招标人可补充其他说明）</w:t>
      </w:r>
      <w:r>
        <w:rPr>
          <w:rFonts w:hint="eastAsia" w:ascii="宋体" w:hAnsi="宋体"/>
          <w:color w:val="auto"/>
          <w:highlight w:val="none"/>
        </w:rPr>
        <w:t>。</w:t>
      </w:r>
    </w:p>
    <w:p>
      <w:pPr>
        <w:spacing w:line="360" w:lineRule="auto"/>
        <w:ind w:right="480" w:firstLine="240"/>
        <w:rPr>
          <w:rFonts w:ascii="宋体" w:hAnsi="宋体"/>
          <w:color w:val="auto"/>
          <w:highlight w:val="none"/>
        </w:rPr>
      </w:pPr>
    </w:p>
    <w:p>
      <w:pPr>
        <w:spacing w:line="360" w:lineRule="auto"/>
        <w:ind w:right="480" w:firstLine="240"/>
        <w:rPr>
          <w:rFonts w:ascii="宋体" w:hAnsi="宋体"/>
          <w:color w:val="auto"/>
          <w:highlight w:val="none"/>
          <w:u w:val="single"/>
        </w:rPr>
      </w:pPr>
      <w:r>
        <w:rPr>
          <w:rFonts w:hint="eastAsia" w:ascii="宋体" w:hAnsi="宋体"/>
          <w:color w:val="auto"/>
          <w:highlight w:val="none"/>
        </w:rPr>
        <w:t>投标人：</w:t>
      </w:r>
      <w:r>
        <w:rPr>
          <w:rFonts w:hint="eastAsia" w:ascii="宋体" w:hAnsi="宋体"/>
          <w:color w:val="auto"/>
          <w:highlight w:val="none"/>
          <w:u w:val="single"/>
        </w:rPr>
        <w:t>（单位盖章）</w:t>
      </w:r>
    </w:p>
    <w:p>
      <w:pPr>
        <w:spacing w:line="360" w:lineRule="auto"/>
        <w:ind w:firstLine="240"/>
        <w:jc w:val="right"/>
        <w:rPr>
          <w:rFonts w:ascii="宋体"/>
          <w:color w:val="auto"/>
          <w:highlight w:val="none"/>
          <w:u w:val="single"/>
        </w:rPr>
      </w:pPr>
      <w:r>
        <w:rPr>
          <w:rFonts w:hint="eastAsia" w:ascii="宋体" w:hAnsi="宋体"/>
          <w:color w:val="auto"/>
          <w:highlight w:val="none"/>
        </w:rPr>
        <w:t xml:space="preserve">                   法定代表或委托代理人：</w:t>
      </w:r>
      <w:r>
        <w:rPr>
          <w:rFonts w:hint="eastAsia" w:ascii="宋体" w:hAnsi="宋体"/>
          <w:color w:val="auto"/>
          <w:highlight w:val="none"/>
          <w:u w:val="single"/>
        </w:rPr>
        <w:t>（签字或盖章）</w:t>
      </w:r>
    </w:p>
    <w:p>
      <w:pPr>
        <w:spacing w:line="360" w:lineRule="auto"/>
        <w:ind w:firstLine="240"/>
        <w:rPr>
          <w:rFonts w:ascii="宋体" w:hAnsi="宋体"/>
          <w:color w:val="auto"/>
          <w:highlight w:val="none"/>
          <w:u w:val="single"/>
        </w:rPr>
      </w:pPr>
      <w:r>
        <w:rPr>
          <w:rFonts w:hint="eastAsia" w:ascii="宋体" w:hAnsi="宋体"/>
          <w:color w:val="auto"/>
          <w:highlight w:val="none"/>
        </w:rPr>
        <w:t xml:space="preserve">                                 联系人：</w:t>
      </w:r>
      <w:r>
        <w:rPr>
          <w:rFonts w:hint="eastAsia" w:ascii="宋体" w:hAnsi="宋体"/>
          <w:color w:val="auto"/>
          <w:highlight w:val="none"/>
          <w:u w:val="single"/>
        </w:rPr>
        <w:t xml:space="preserve">                            </w:t>
      </w:r>
    </w:p>
    <w:p>
      <w:pPr>
        <w:spacing w:line="360" w:lineRule="auto"/>
        <w:ind w:firstLine="4200" w:firstLineChars="1750"/>
        <w:rPr>
          <w:rFonts w:ascii="宋体" w:hAnsi="宋体"/>
          <w:color w:val="auto"/>
          <w:highlight w:val="none"/>
          <w:u w:val="single"/>
        </w:rPr>
      </w:pPr>
      <w:r>
        <w:rPr>
          <w:rFonts w:hint="eastAsia" w:ascii="宋体" w:hAnsi="宋体"/>
          <w:color w:val="auto"/>
          <w:highlight w:val="none"/>
        </w:rPr>
        <w:t>联系地址：</w:t>
      </w:r>
      <w:r>
        <w:rPr>
          <w:rFonts w:hint="eastAsia" w:ascii="宋体" w:hAnsi="宋体"/>
          <w:color w:val="auto"/>
          <w:highlight w:val="none"/>
          <w:u w:val="single"/>
        </w:rPr>
        <w:t xml:space="preserve">                          </w:t>
      </w:r>
    </w:p>
    <w:p>
      <w:pPr>
        <w:spacing w:line="360" w:lineRule="auto"/>
        <w:ind w:firstLine="4200" w:firstLineChars="175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 xml:space="preserve">                              </w:t>
      </w:r>
    </w:p>
    <w:p>
      <w:pPr>
        <w:spacing w:line="360" w:lineRule="auto"/>
        <w:ind w:firstLine="4200" w:firstLineChars="1750"/>
        <w:rPr>
          <w:rFonts w:ascii="宋体" w:hAnsi="宋体"/>
          <w:color w:val="auto"/>
          <w:highlight w:val="none"/>
          <w:u w:val="single"/>
        </w:rPr>
      </w:pPr>
      <w:r>
        <w:rPr>
          <w:rFonts w:hint="eastAsia" w:ascii="宋体" w:hAnsi="宋体"/>
          <w:color w:val="auto"/>
          <w:highlight w:val="none"/>
        </w:rPr>
        <w:t>邮编：</w:t>
      </w:r>
      <w:r>
        <w:rPr>
          <w:rFonts w:hint="eastAsia" w:ascii="宋体" w:hAnsi="宋体"/>
          <w:color w:val="auto"/>
          <w:highlight w:val="none"/>
          <w:u w:val="single"/>
        </w:rPr>
        <w:t xml:space="preserve">                              </w:t>
      </w:r>
    </w:p>
    <w:p>
      <w:pPr>
        <w:spacing w:line="360" w:lineRule="auto"/>
        <w:ind w:firstLine="5760" w:firstLineChars="2400"/>
        <w:rPr>
          <w:rFonts w:ascii="宋体" w:hAnsi="宋体"/>
          <w:color w:val="auto"/>
          <w:highlight w:val="none"/>
        </w:rPr>
      </w:pPr>
      <w:r>
        <w:rPr>
          <w:rFonts w:hint="eastAsia" w:ascii="宋体" w:hAnsi="宋体"/>
          <w:color w:val="auto"/>
          <w:highlight w:val="none"/>
        </w:rPr>
        <w:t>年  月  日</w:t>
      </w:r>
    </w:p>
    <w:p>
      <w:pPr>
        <w:widowControl/>
        <w:autoSpaceDN/>
        <w:rPr>
          <w:b/>
          <w:bCs/>
          <w:color w:val="auto"/>
          <w:sz w:val="28"/>
          <w:szCs w:val="28"/>
          <w:highlight w:val="none"/>
        </w:rPr>
      </w:pPr>
      <w:r>
        <w:rPr>
          <w:b/>
          <w:bCs/>
          <w:color w:val="auto"/>
          <w:sz w:val="36"/>
          <w:szCs w:val="36"/>
          <w:highlight w:val="none"/>
        </w:rPr>
        <w:br w:type="page"/>
      </w:r>
    </w:p>
    <w:p>
      <w:pPr>
        <w:spacing w:line="480" w:lineRule="auto"/>
        <w:jc w:val="center"/>
        <w:rPr>
          <w:b/>
          <w:bCs/>
          <w:color w:val="auto"/>
          <w:sz w:val="36"/>
          <w:szCs w:val="36"/>
          <w:highlight w:val="none"/>
        </w:rPr>
      </w:pPr>
      <w:r>
        <w:rPr>
          <w:rFonts w:hint="eastAsia" w:ascii="宋体" w:hAnsi="宋体"/>
          <w:b/>
          <w:bCs/>
          <w:color w:val="auto"/>
          <w:sz w:val="36"/>
          <w:szCs w:val="36"/>
          <w:highlight w:val="none"/>
        </w:rPr>
        <w:t>投标函附录</w:t>
      </w:r>
    </w:p>
    <w:tbl>
      <w:tblPr>
        <w:tblStyle w:val="18"/>
        <w:tblW w:w="93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060"/>
        <w:gridCol w:w="1704"/>
        <w:gridCol w:w="259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20" w:type="dxa"/>
            <w:tcBorders>
              <w:top w:val="single" w:color="auto" w:sz="4" w:space="0"/>
              <w:left w:val="single" w:color="auto" w:sz="4" w:space="0"/>
              <w:bottom w:val="single" w:color="auto" w:sz="4" w:space="0"/>
              <w:right w:val="single" w:color="auto" w:sz="4" w:space="0"/>
            </w:tcBorders>
            <w:vAlign w:val="bottom"/>
          </w:tcPr>
          <w:p>
            <w:pPr>
              <w:spacing w:line="480" w:lineRule="auto"/>
              <w:jc w:val="center"/>
              <w:rPr>
                <w:color w:val="auto"/>
                <w:highlight w:val="none"/>
              </w:rPr>
            </w:pPr>
            <w:r>
              <w:rPr>
                <w:rFonts w:hint="eastAsia"/>
                <w:color w:val="auto"/>
                <w:highlight w:val="none"/>
              </w:rPr>
              <w:t>序号</w:t>
            </w:r>
          </w:p>
        </w:tc>
        <w:tc>
          <w:tcPr>
            <w:tcW w:w="3060" w:type="dxa"/>
            <w:tcBorders>
              <w:top w:val="single" w:color="auto" w:sz="4" w:space="0"/>
              <w:left w:val="nil"/>
              <w:bottom w:val="single" w:color="auto" w:sz="4" w:space="0"/>
              <w:right w:val="single" w:color="auto" w:sz="4" w:space="0"/>
            </w:tcBorders>
            <w:vAlign w:val="bottom"/>
          </w:tcPr>
          <w:p>
            <w:pPr>
              <w:spacing w:line="480" w:lineRule="auto"/>
              <w:jc w:val="center"/>
              <w:rPr>
                <w:color w:val="auto"/>
                <w:highlight w:val="none"/>
              </w:rPr>
            </w:pPr>
            <w:r>
              <w:rPr>
                <w:rFonts w:hint="eastAsia"/>
                <w:color w:val="auto"/>
                <w:highlight w:val="none"/>
              </w:rPr>
              <w:t>项目内容</w:t>
            </w:r>
          </w:p>
        </w:tc>
        <w:tc>
          <w:tcPr>
            <w:tcW w:w="1704" w:type="dxa"/>
            <w:tcBorders>
              <w:top w:val="single" w:color="auto" w:sz="4" w:space="0"/>
              <w:left w:val="nil"/>
              <w:bottom w:val="single" w:color="auto" w:sz="4" w:space="0"/>
              <w:right w:val="single" w:color="auto" w:sz="4" w:space="0"/>
            </w:tcBorders>
            <w:vAlign w:val="bottom"/>
          </w:tcPr>
          <w:p>
            <w:pPr>
              <w:spacing w:line="480" w:lineRule="auto"/>
              <w:jc w:val="center"/>
              <w:rPr>
                <w:color w:val="auto"/>
                <w:highlight w:val="none"/>
              </w:rPr>
            </w:pPr>
            <w:r>
              <w:rPr>
                <w:rFonts w:hint="eastAsia"/>
                <w:color w:val="auto"/>
                <w:highlight w:val="none"/>
              </w:rPr>
              <w:t>合同条款号</w:t>
            </w:r>
          </w:p>
        </w:tc>
        <w:tc>
          <w:tcPr>
            <w:tcW w:w="2597" w:type="dxa"/>
            <w:tcBorders>
              <w:top w:val="single" w:color="auto" w:sz="4" w:space="0"/>
              <w:left w:val="nil"/>
              <w:bottom w:val="single" w:color="auto" w:sz="4" w:space="0"/>
              <w:right w:val="single" w:color="auto" w:sz="4" w:space="0"/>
            </w:tcBorders>
            <w:vAlign w:val="bottom"/>
          </w:tcPr>
          <w:p>
            <w:pPr>
              <w:spacing w:line="480" w:lineRule="auto"/>
              <w:jc w:val="center"/>
              <w:rPr>
                <w:color w:val="auto"/>
                <w:highlight w:val="none"/>
              </w:rPr>
            </w:pPr>
            <w:r>
              <w:rPr>
                <w:rFonts w:hint="eastAsia"/>
                <w:color w:val="auto"/>
                <w:highlight w:val="none"/>
              </w:rPr>
              <w:t>约定内容</w:t>
            </w:r>
          </w:p>
        </w:tc>
        <w:tc>
          <w:tcPr>
            <w:tcW w:w="1253" w:type="dxa"/>
            <w:tcBorders>
              <w:top w:val="single" w:color="auto" w:sz="4" w:space="0"/>
              <w:left w:val="nil"/>
              <w:bottom w:val="single" w:color="auto" w:sz="4" w:space="0"/>
              <w:right w:val="single" w:color="auto" w:sz="4" w:space="0"/>
            </w:tcBorders>
            <w:vAlign w:val="bottom"/>
          </w:tcPr>
          <w:p>
            <w:pPr>
              <w:spacing w:line="480" w:lineRule="auto"/>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1</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履约担保</w:t>
            </w:r>
          </w:p>
          <w:p>
            <w:pPr>
              <w:rPr>
                <w:color w:val="auto"/>
                <w:highlight w:val="none"/>
              </w:rPr>
            </w:pPr>
            <w:r>
              <w:rPr>
                <w:rFonts w:hint="eastAsia"/>
                <w:color w:val="auto"/>
                <w:highlight w:val="none"/>
              </w:rPr>
              <w:t>银行保函金额</w:t>
            </w:r>
          </w:p>
          <w:p>
            <w:pPr>
              <w:rPr>
                <w:color w:val="auto"/>
                <w:highlight w:val="none"/>
              </w:rPr>
            </w:pPr>
            <w:r>
              <w:rPr>
                <w:rFonts w:hint="eastAsia"/>
                <w:color w:val="auto"/>
                <w:highlight w:val="none"/>
              </w:rPr>
              <w:t>履约担保书金额</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2</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施工准备时间</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3</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误期违约金额</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4</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误期赔偿费限额</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5</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提前工期奖</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6</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施工总工期</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7</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质量标准：</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8</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工程质量违约金最高金额</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9</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预付款金额：</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10</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预付款保函金额</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11</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进度款付款金额</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12</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竣工结算款付款时间：</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13</w:t>
            </w:r>
          </w:p>
        </w:tc>
        <w:tc>
          <w:tcPr>
            <w:tcW w:w="3060"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保修期：</w:t>
            </w:r>
          </w:p>
        </w:tc>
        <w:tc>
          <w:tcPr>
            <w:tcW w:w="1704" w:type="dxa"/>
            <w:tcBorders>
              <w:top w:val="single" w:color="auto" w:sz="4" w:space="0"/>
              <w:left w:val="nil"/>
              <w:bottom w:val="single" w:color="auto" w:sz="4" w:space="0"/>
              <w:right w:val="single" w:color="auto" w:sz="4" w:space="0"/>
            </w:tcBorders>
            <w:vAlign w:val="center"/>
          </w:tcPr>
          <w:p>
            <w:pPr>
              <w:rPr>
                <w:color w:val="auto"/>
                <w:highlight w:val="none"/>
              </w:rPr>
            </w:pPr>
          </w:p>
        </w:tc>
        <w:tc>
          <w:tcPr>
            <w:tcW w:w="2597" w:type="dxa"/>
            <w:tcBorders>
              <w:top w:val="single" w:color="auto" w:sz="4" w:space="0"/>
              <w:left w:val="nil"/>
              <w:bottom w:val="single" w:color="auto" w:sz="4" w:space="0"/>
              <w:right w:val="single" w:color="auto" w:sz="4" w:space="0"/>
            </w:tcBorders>
            <w:vAlign w:val="center"/>
          </w:tcPr>
          <w:p>
            <w:pPr>
              <w:rPr>
                <w:color w:val="auto"/>
                <w:highlight w:val="none"/>
              </w:rPr>
            </w:pPr>
            <w:r>
              <w:rPr>
                <w:rFonts w:hint="eastAsia"/>
                <w:color w:val="auto"/>
                <w:highlight w:val="none"/>
              </w:rPr>
              <w:t>按照招标文件要求</w:t>
            </w:r>
          </w:p>
        </w:tc>
        <w:tc>
          <w:tcPr>
            <w:tcW w:w="1253" w:type="dxa"/>
            <w:tcBorders>
              <w:top w:val="single" w:color="auto" w:sz="4" w:space="0"/>
              <w:left w:val="nil"/>
              <w:bottom w:val="single" w:color="auto" w:sz="4" w:space="0"/>
              <w:right w:val="single" w:color="auto" w:sz="4" w:space="0"/>
            </w:tcBorders>
          </w:tcPr>
          <w:p>
            <w:pPr>
              <w:spacing w:line="480" w:lineRule="auto"/>
              <w:rPr>
                <w:color w:val="auto"/>
                <w:highlight w:val="none"/>
              </w:rPr>
            </w:pPr>
          </w:p>
        </w:tc>
      </w:tr>
    </w:tbl>
    <w:p>
      <w:pPr>
        <w:rPr>
          <w:color w:val="auto"/>
          <w:highlight w:val="none"/>
        </w:rPr>
      </w:pPr>
    </w:p>
    <w:p>
      <w:pPr>
        <w:spacing w:line="480" w:lineRule="auto"/>
        <w:rPr>
          <w:color w:val="auto"/>
          <w:highlight w:val="none"/>
        </w:rPr>
      </w:pPr>
    </w:p>
    <w:p>
      <w:pPr>
        <w:spacing w:line="360" w:lineRule="auto"/>
        <w:ind w:left="420"/>
        <w:jc w:val="center"/>
        <w:rPr>
          <w:rFonts w:ascii="宋体" w:hAnsi="宋体"/>
          <w:b/>
          <w:bCs/>
          <w:color w:val="auto"/>
          <w:sz w:val="36"/>
          <w:szCs w:val="36"/>
          <w:highlight w:val="none"/>
        </w:rPr>
      </w:pPr>
      <w:r>
        <w:rPr>
          <w:b/>
          <w:bCs/>
          <w:color w:val="auto"/>
          <w:highlight w:val="none"/>
        </w:rPr>
        <w:br w:type="page"/>
      </w:r>
      <w:r>
        <w:rPr>
          <w:rFonts w:hint="eastAsia" w:ascii="宋体" w:hAnsi="宋体"/>
          <w:b/>
          <w:bCs/>
          <w:color w:val="auto"/>
          <w:sz w:val="36"/>
          <w:szCs w:val="36"/>
          <w:highlight w:val="none"/>
        </w:rPr>
        <w:t>工程量清单报价</w:t>
      </w:r>
    </w:p>
    <w:p>
      <w:pPr>
        <w:snapToGrid w:val="0"/>
        <w:spacing w:line="360" w:lineRule="auto"/>
        <w:ind w:firstLine="480" w:firstLineChars="200"/>
        <w:rPr>
          <w:rFonts w:ascii="宋体" w:hAnsi="宋体" w:cs="仿宋_GB2312"/>
          <w:color w:val="auto"/>
          <w:highlight w:val="none"/>
        </w:rPr>
      </w:pPr>
      <w:r>
        <w:rPr>
          <w:rFonts w:hint="eastAsia" w:ascii="宋体" w:hAnsi="宋体" w:cs="仿宋_GB2312"/>
          <w:color w:val="auto"/>
          <w:highlight w:val="none"/>
        </w:rPr>
        <w:t>(一)投标报价应根据下列依据进行编制：相关专业工程的国家标准《工程量计算规范》；省、市建设主管部门以及工程造价管理机构颁发的相关计价规定；本企业定额或参照省建设主管部门颁发的计价依据；招标文件、招标工程量清单及其补充通知、答疑纪要；达到规定设计深度的施工图纸；与工程项目有关的规范、标准、技术资料；施工现场实际情况、工程特点和投标人自行拟定的施工组织设计或施工方案；市场价格或工程造价管理机构发布的价格信息；其他相关资料。</w:t>
      </w:r>
    </w:p>
    <w:p>
      <w:pPr>
        <w:snapToGrid w:val="0"/>
        <w:spacing w:line="360" w:lineRule="auto"/>
        <w:ind w:firstLine="480" w:firstLineChars="200"/>
        <w:rPr>
          <w:rFonts w:ascii="宋体" w:hAnsi="宋体" w:cs="仿宋_GB2312"/>
          <w:color w:val="auto"/>
          <w:highlight w:val="none"/>
        </w:rPr>
      </w:pPr>
      <w:r>
        <w:rPr>
          <w:rFonts w:hint="eastAsia" w:ascii="宋体" w:hAnsi="宋体" w:cs="仿宋_GB2312"/>
          <w:color w:val="auto"/>
          <w:highlight w:val="none"/>
        </w:rPr>
        <w:t>(二)投标人应当根据本企业的具体经营状况、技术装备水平、管理水平，视工程的实际情况、风险程度，自主报价。投标人不得以低于其企业成本的投标报价竞标。</w:t>
      </w:r>
    </w:p>
    <w:p>
      <w:pPr>
        <w:snapToGrid w:val="0"/>
        <w:spacing w:line="360" w:lineRule="auto"/>
        <w:ind w:firstLine="480" w:firstLineChars="200"/>
        <w:rPr>
          <w:rFonts w:ascii="宋体" w:hAnsi="宋体" w:cs="仿宋_GB2312"/>
          <w:color w:val="auto"/>
          <w:highlight w:val="none"/>
        </w:rPr>
      </w:pPr>
      <w:r>
        <w:rPr>
          <w:rFonts w:hint="eastAsia" w:ascii="宋体" w:hAnsi="宋体" w:cs="仿宋_GB2312"/>
          <w:color w:val="auto"/>
          <w:highlight w:val="none"/>
        </w:rPr>
        <w:t>投标人应根据其投标报价情况提供书面报价说明。报价说明的主要内容包括：投标报价的编制依据；对投标工期、质量、安全、材料、施工等方面的承诺；综合单价中考虑的风险因素、风险范围（幅度）；措施项目的依据；其他需要说明的问题。</w:t>
      </w:r>
    </w:p>
    <w:p>
      <w:pPr>
        <w:numPr>
          <w:ilvl w:val="0"/>
          <w:numId w:val="17"/>
        </w:numPr>
        <w:snapToGrid w:val="0"/>
        <w:spacing w:line="360" w:lineRule="auto"/>
        <w:ind w:left="480" w:leftChars="200"/>
        <w:rPr>
          <w:rFonts w:ascii="宋体" w:hAnsi="宋体" w:cs="仿宋_GB2312"/>
          <w:color w:val="auto"/>
          <w:highlight w:val="none"/>
        </w:rPr>
      </w:pPr>
      <w:r>
        <w:rPr>
          <w:rFonts w:hint="eastAsia" w:ascii="宋体" w:hAnsi="宋体" w:cs="仿宋_GB2312"/>
          <w:color w:val="auto"/>
          <w:highlight w:val="none"/>
        </w:rPr>
        <w:t>投标报价应按照以下原则计价：</w:t>
      </w:r>
    </w:p>
    <w:p>
      <w:pPr>
        <w:snapToGrid w:val="0"/>
        <w:spacing w:line="360" w:lineRule="auto"/>
        <w:ind w:firstLine="480" w:firstLineChars="200"/>
        <w:rPr>
          <w:color w:val="auto"/>
          <w:highlight w:val="none"/>
        </w:rPr>
      </w:pPr>
      <w:r>
        <w:rPr>
          <w:rFonts w:hint="eastAsia"/>
          <w:color w:val="auto"/>
          <w:highlight w:val="none"/>
        </w:rPr>
        <w:t>1.分部分项工程项目清单费用</w:t>
      </w:r>
    </w:p>
    <w:p>
      <w:pPr>
        <w:snapToGrid w:val="0"/>
        <w:spacing w:line="360" w:lineRule="auto"/>
        <w:ind w:firstLine="480" w:firstLineChars="200"/>
        <w:rPr>
          <w:color w:val="auto"/>
          <w:highlight w:val="none"/>
        </w:rPr>
      </w:pPr>
      <w:r>
        <w:rPr>
          <w:rFonts w:hint="eastAsia"/>
          <w:color w:val="auto"/>
          <w:highlight w:val="none"/>
        </w:rPr>
        <w:t>（1）投标人按招标工程量清单填报价格。投标报价采用综合单价计价，投标人应根据综合单价的组成、工程量清单项目特征描述和工程内容确定综合单价。综合单价包括完成工程量清单中一个规定计量单位项目所需的人工费、材料费、机械使用费、企业管理费和利润，并考虑一定的风险因素。综合单价中应包括招标文件中确定的由投标人承担的风险范围及其费用。</w:t>
      </w:r>
    </w:p>
    <w:p>
      <w:pPr>
        <w:snapToGrid w:val="0"/>
        <w:spacing w:line="360" w:lineRule="auto"/>
        <w:ind w:firstLine="480" w:firstLineChars="200"/>
        <w:rPr>
          <w:color w:val="auto"/>
          <w:highlight w:val="none"/>
        </w:rPr>
      </w:pPr>
      <w:r>
        <w:rPr>
          <w:rFonts w:hint="eastAsia"/>
          <w:color w:val="auto"/>
          <w:highlight w:val="none"/>
        </w:rPr>
        <w:t>（2）人工费、材料费、机械使用费、企业管理费和利润的费用所涵盖内容可自主确定或按省级建设主管部门颁发的计价依据确定。</w:t>
      </w:r>
    </w:p>
    <w:p>
      <w:pPr>
        <w:snapToGrid w:val="0"/>
        <w:spacing w:line="360" w:lineRule="auto"/>
        <w:ind w:firstLine="480" w:firstLineChars="200"/>
        <w:rPr>
          <w:color w:val="auto"/>
          <w:highlight w:val="none"/>
        </w:rPr>
      </w:pPr>
      <w:r>
        <w:rPr>
          <w:rFonts w:hint="eastAsia"/>
          <w:color w:val="auto"/>
          <w:highlight w:val="none"/>
        </w:rPr>
        <w:t>（3）综合单价应包括招标人自行采购材料的价款。招标文件提供暂估价的材料，投标人按暂估的单价计入综合单价。暂估价的材料如遇本省计价依据中无相类似的材料时，投标人应该在投标文件报价说明中明确该材料的损耗率。</w:t>
      </w:r>
    </w:p>
    <w:p>
      <w:pPr>
        <w:snapToGrid w:val="0"/>
        <w:spacing w:line="360" w:lineRule="auto"/>
        <w:ind w:firstLine="480" w:firstLineChars="200"/>
        <w:rPr>
          <w:color w:val="auto"/>
          <w:highlight w:val="none"/>
        </w:rPr>
      </w:pPr>
      <w:r>
        <w:rPr>
          <w:rFonts w:hint="eastAsia"/>
          <w:color w:val="auto"/>
          <w:highlight w:val="none"/>
        </w:rPr>
        <w:t>（4）企业管理费、利润的费用计算由投标人自主确定或参照省建设主管部门颁发的计价依据计算。</w:t>
      </w:r>
    </w:p>
    <w:p>
      <w:pPr>
        <w:snapToGrid w:val="0"/>
        <w:spacing w:line="360" w:lineRule="auto"/>
        <w:ind w:firstLine="480" w:firstLineChars="200"/>
        <w:rPr>
          <w:color w:val="auto"/>
          <w:highlight w:val="none"/>
        </w:rPr>
      </w:pPr>
      <w:r>
        <w:rPr>
          <w:rFonts w:hint="eastAsia"/>
          <w:color w:val="auto"/>
          <w:highlight w:val="none"/>
        </w:rPr>
        <w:t>投标报价时，企业管理费中应包括施工企业现场监控和现场临时宿舍取暖降温费用，以及施工企业对建筑以及材料、构件和建筑安装物进行一般鉴定、检查所发生的检验试验费等相关费用。为保障工程质量和安全，企业管理费报价可参照省建设主管部门颁发的计价依据和相关取费计价文件规定由投标人自主确定。</w:t>
      </w:r>
    </w:p>
    <w:p>
      <w:pPr>
        <w:snapToGrid w:val="0"/>
        <w:spacing w:line="360" w:lineRule="auto"/>
        <w:ind w:firstLine="480" w:firstLineChars="200"/>
        <w:rPr>
          <w:color w:val="auto"/>
          <w:highlight w:val="none"/>
        </w:rPr>
      </w:pPr>
      <w:r>
        <w:rPr>
          <w:rFonts w:hint="eastAsia"/>
          <w:color w:val="auto"/>
          <w:highlight w:val="none"/>
        </w:rPr>
        <w:t>（5）综合单价中的风险费计算应根据招标文件中所明确的投标人应承担的风险范围和幅度由投标人自主确定。</w:t>
      </w:r>
    </w:p>
    <w:p>
      <w:pPr>
        <w:snapToGrid w:val="0"/>
        <w:spacing w:line="360" w:lineRule="auto"/>
        <w:ind w:left="480" w:leftChars="200"/>
        <w:rPr>
          <w:color w:val="auto"/>
          <w:highlight w:val="none"/>
        </w:rPr>
      </w:pPr>
      <w:r>
        <w:rPr>
          <w:rFonts w:hint="eastAsia"/>
          <w:color w:val="auto"/>
          <w:highlight w:val="none"/>
        </w:rPr>
        <w:t>2.措施项目清单费用</w:t>
      </w:r>
    </w:p>
    <w:p>
      <w:pPr>
        <w:snapToGrid w:val="0"/>
        <w:spacing w:line="360" w:lineRule="auto"/>
        <w:ind w:firstLine="480" w:firstLineChars="200"/>
        <w:rPr>
          <w:color w:val="auto"/>
          <w:highlight w:val="none"/>
        </w:rPr>
      </w:pPr>
      <w:r>
        <w:rPr>
          <w:rFonts w:hint="eastAsia"/>
          <w:color w:val="auto"/>
          <w:highlight w:val="none"/>
        </w:rPr>
        <w:t>（1）投标人应根据招标人提供的措施项目清单和投标人自行确定的施工组织设计或施工方案填报数量和价格，不发生的措施项目金额以“O”计价。遇有措施项目清单未列项的，投标人可补充措施项目并报价。</w:t>
      </w:r>
    </w:p>
    <w:p>
      <w:pPr>
        <w:snapToGrid w:val="0"/>
        <w:spacing w:line="360" w:lineRule="auto"/>
        <w:ind w:firstLine="480" w:firstLineChars="200"/>
        <w:rPr>
          <w:color w:val="auto"/>
          <w:highlight w:val="none"/>
        </w:rPr>
      </w:pPr>
      <w:r>
        <w:rPr>
          <w:rFonts w:hint="eastAsia"/>
          <w:color w:val="auto"/>
          <w:highlight w:val="none"/>
        </w:rPr>
        <w:t>（2）技术措施项目中的单价项目报价可参照综合单价的组成自主确定或参照省建设主管部门发布的计价依据。</w:t>
      </w:r>
    </w:p>
    <w:p>
      <w:pPr>
        <w:snapToGrid w:val="0"/>
        <w:spacing w:line="360" w:lineRule="auto"/>
        <w:ind w:firstLine="480" w:firstLineChars="200"/>
        <w:rPr>
          <w:color w:val="auto"/>
          <w:highlight w:val="none"/>
        </w:rPr>
      </w:pPr>
      <w:r>
        <w:rPr>
          <w:rFonts w:hint="eastAsia"/>
          <w:color w:val="auto"/>
          <w:highlight w:val="none"/>
        </w:rPr>
        <w:t>（3）措施项目中凡属周转使用的设备、材料，均应按单次使用摊销量报价。</w:t>
      </w:r>
    </w:p>
    <w:p>
      <w:pPr>
        <w:snapToGrid w:val="0"/>
        <w:spacing w:line="360" w:lineRule="auto"/>
        <w:ind w:firstLine="480" w:firstLineChars="200"/>
        <w:rPr>
          <w:color w:val="auto"/>
          <w:highlight w:val="none"/>
        </w:rPr>
      </w:pPr>
      <w:r>
        <w:rPr>
          <w:rFonts w:hint="eastAsia"/>
          <w:color w:val="auto"/>
          <w:highlight w:val="none"/>
        </w:rPr>
        <w:t>（4）并按招标工程量清单中的相应措施清单提供数量和报价。遇有缺项时，投标人可补充措施项目。</w:t>
      </w:r>
    </w:p>
    <w:p>
      <w:pPr>
        <w:snapToGrid w:val="0"/>
        <w:spacing w:line="360" w:lineRule="auto"/>
        <w:ind w:firstLine="480" w:firstLineChars="200"/>
        <w:rPr>
          <w:color w:val="auto"/>
          <w:highlight w:val="none"/>
        </w:rPr>
      </w:pPr>
      <w:r>
        <w:rPr>
          <w:rFonts w:hint="eastAsia"/>
          <w:color w:val="auto"/>
          <w:highlight w:val="none"/>
        </w:rPr>
        <w:t>（5）施工取费费率依照本省现行计价依据的有关规定执行。</w:t>
      </w:r>
    </w:p>
    <w:p>
      <w:pPr>
        <w:snapToGrid w:val="0"/>
        <w:spacing w:line="360" w:lineRule="auto"/>
        <w:ind w:firstLine="480" w:firstLineChars="200"/>
        <w:rPr>
          <w:color w:val="auto"/>
          <w:highlight w:val="none"/>
        </w:rPr>
      </w:pPr>
      <w:r>
        <w:rPr>
          <w:rFonts w:hint="eastAsia"/>
          <w:color w:val="auto"/>
          <w:highlight w:val="none"/>
        </w:rPr>
        <w:t>安全文明施工措施费不得挪作他用。工程实施过程中应根据投标文件的承诺和合同约定，经监理单位审查认可后由建设单位足额支付。安全文明施工基本费投标报价不得低于建设主管部门颁发的取费计价文件规定的弹性费率下限计算值。</w:t>
      </w:r>
    </w:p>
    <w:p>
      <w:pPr>
        <w:numPr>
          <w:ilvl w:val="0"/>
          <w:numId w:val="8"/>
        </w:numPr>
        <w:snapToGrid w:val="0"/>
        <w:spacing w:line="360" w:lineRule="auto"/>
        <w:ind w:left="0" w:firstLine="480" w:firstLineChars="200"/>
        <w:rPr>
          <w:color w:val="auto"/>
          <w:highlight w:val="none"/>
        </w:rPr>
      </w:pPr>
      <w:r>
        <w:rPr>
          <w:rFonts w:hint="eastAsia"/>
          <w:color w:val="auto"/>
          <w:highlight w:val="none"/>
        </w:rPr>
        <w:t>投标人措施项目各分项之间不得重复报价。</w:t>
      </w:r>
    </w:p>
    <w:p>
      <w:pPr>
        <w:numPr>
          <w:ilvl w:val="0"/>
          <w:numId w:val="55"/>
        </w:numPr>
        <w:snapToGrid w:val="0"/>
        <w:spacing w:line="360" w:lineRule="auto"/>
        <w:rPr>
          <w:color w:val="auto"/>
          <w:highlight w:val="none"/>
        </w:rPr>
      </w:pPr>
      <w:r>
        <w:rPr>
          <w:rFonts w:hint="eastAsia"/>
          <w:color w:val="auto"/>
          <w:highlight w:val="none"/>
        </w:rPr>
        <w:t>其他项目清单费用</w:t>
      </w:r>
    </w:p>
    <w:p>
      <w:pPr>
        <w:numPr>
          <w:ilvl w:val="0"/>
          <w:numId w:val="56"/>
        </w:numPr>
        <w:snapToGrid w:val="0"/>
        <w:spacing w:line="360" w:lineRule="auto"/>
        <w:ind w:firstLine="480" w:firstLineChars="200"/>
        <w:rPr>
          <w:color w:val="auto"/>
          <w:highlight w:val="none"/>
        </w:rPr>
      </w:pPr>
      <w:r>
        <w:rPr>
          <w:rFonts w:hint="eastAsia"/>
          <w:color w:val="auto"/>
          <w:highlight w:val="none"/>
        </w:rPr>
        <w:t>暂列金额，投标人按招标工程量清单确定的金额填报；总承包服务费，投标人按招标工程量清单确定的项目内容和要求自主确定费率并报价；计日工费，投标人按招标工程量清单列出的项目内容和数量自主确定综合单价并计算报价。招标人对计日工费内容和数量未作要求的，投标人不需要作出报价。</w:t>
      </w:r>
    </w:p>
    <w:p>
      <w:pPr>
        <w:numPr>
          <w:ilvl w:val="0"/>
          <w:numId w:val="56"/>
        </w:numPr>
        <w:snapToGrid w:val="0"/>
        <w:spacing w:line="360" w:lineRule="auto"/>
        <w:ind w:firstLine="480" w:firstLineChars="200"/>
        <w:rPr>
          <w:color w:val="auto"/>
          <w:highlight w:val="none"/>
        </w:rPr>
      </w:pPr>
      <w:r>
        <w:rPr>
          <w:rFonts w:hint="eastAsia"/>
          <w:color w:val="auto"/>
          <w:highlight w:val="none"/>
        </w:rPr>
        <w:t>其他项目清单中的暂列金额和计日工，均为招标人估算、预测数量，投标时计入投标人的报价中，竣工结算时应按承包人实际完成的工程内容结算。</w:t>
      </w:r>
    </w:p>
    <w:p>
      <w:pPr>
        <w:numPr>
          <w:ilvl w:val="0"/>
          <w:numId w:val="55"/>
        </w:numPr>
        <w:snapToGrid w:val="0"/>
        <w:spacing w:line="360" w:lineRule="auto"/>
        <w:rPr>
          <w:color w:val="auto"/>
          <w:highlight w:val="none"/>
        </w:rPr>
      </w:pPr>
      <w:r>
        <w:rPr>
          <w:rFonts w:hint="eastAsia"/>
          <w:color w:val="auto"/>
          <w:highlight w:val="none"/>
        </w:rPr>
        <w:t>规费、税金</w:t>
      </w:r>
    </w:p>
    <w:p>
      <w:pPr>
        <w:snapToGrid w:val="0"/>
        <w:spacing w:line="360" w:lineRule="auto"/>
        <w:ind w:firstLine="480" w:firstLineChars="200"/>
        <w:rPr>
          <w:color w:val="auto"/>
          <w:highlight w:val="none"/>
        </w:rPr>
      </w:pPr>
      <w:r>
        <w:rPr>
          <w:rFonts w:hint="eastAsia"/>
          <w:color w:val="auto"/>
          <w:highlight w:val="none"/>
        </w:rPr>
        <w:t>规费、税金按省建设主管部门颁发的计价规则内容和计费标准计算报价。省、市政府及有关权力部门颁发的政策性文件对规费、税金的内容和计费标准有调整的，按其规定执行。</w:t>
      </w:r>
    </w:p>
    <w:p>
      <w:pPr>
        <w:snapToGrid w:val="0"/>
        <w:spacing w:line="360" w:lineRule="auto"/>
        <w:ind w:firstLine="480" w:firstLineChars="200"/>
        <w:rPr>
          <w:color w:val="auto"/>
          <w:highlight w:val="none"/>
        </w:rPr>
      </w:pPr>
      <w:r>
        <w:rPr>
          <w:rFonts w:hint="eastAsia"/>
          <w:color w:val="auto"/>
          <w:highlight w:val="none"/>
        </w:rPr>
        <w:t>规费费率不得低于现行标准费率的30%；</w:t>
      </w:r>
    </w:p>
    <w:p>
      <w:pPr>
        <w:snapToGrid w:val="0"/>
        <w:spacing w:line="360" w:lineRule="auto"/>
        <w:ind w:firstLine="480" w:firstLineChars="200"/>
        <w:rPr>
          <w:color w:val="auto"/>
          <w:highlight w:val="none"/>
        </w:rPr>
      </w:pPr>
      <w:r>
        <w:rPr>
          <w:rFonts w:hint="eastAsia"/>
          <w:color w:val="auto"/>
          <w:highlight w:val="none"/>
        </w:rPr>
        <w:t>税金作为不可竞争费用，投标税率必须与现行规定相符；</w:t>
      </w:r>
    </w:p>
    <w:p>
      <w:pPr>
        <w:numPr>
          <w:ilvl w:val="0"/>
          <w:numId w:val="17"/>
        </w:numPr>
        <w:snapToGrid w:val="0"/>
        <w:spacing w:line="360" w:lineRule="auto"/>
        <w:ind w:left="480" w:leftChars="200"/>
        <w:rPr>
          <w:color w:val="auto"/>
          <w:highlight w:val="none"/>
        </w:rPr>
      </w:pPr>
      <w:r>
        <w:rPr>
          <w:rFonts w:hint="eastAsia"/>
          <w:color w:val="auto"/>
          <w:highlight w:val="none"/>
        </w:rPr>
        <w:t>投标人不得擅自修改招标工程量清单的分部分项工程项目清单内容。</w:t>
      </w:r>
    </w:p>
    <w:p>
      <w:pPr>
        <w:snapToGrid w:val="0"/>
        <w:spacing w:line="360" w:lineRule="auto"/>
        <w:ind w:firstLine="480" w:firstLineChars="200"/>
        <w:rPr>
          <w:color w:val="auto"/>
          <w:highlight w:val="none"/>
        </w:rPr>
      </w:pPr>
      <w:r>
        <w:rPr>
          <w:rFonts w:hint="eastAsia"/>
          <w:color w:val="auto"/>
          <w:highlight w:val="none"/>
        </w:rPr>
        <w:t>工程量清单报价应与工、料、机报价及对应的报价分析相符，与拟建工程的施工组织设计或施工方案相符。</w:t>
      </w:r>
    </w:p>
    <w:p>
      <w:pPr>
        <w:snapToGrid w:val="0"/>
        <w:spacing w:line="360" w:lineRule="auto"/>
        <w:ind w:firstLine="480" w:firstLineChars="200"/>
        <w:rPr>
          <w:color w:val="auto"/>
          <w:highlight w:val="none"/>
        </w:rPr>
      </w:pPr>
      <w:r>
        <w:rPr>
          <w:rFonts w:hint="eastAsia"/>
          <w:color w:val="auto"/>
          <w:highlight w:val="none"/>
        </w:rPr>
        <w:t>投标人应根据自己的企业定额或参照省建设主管部门颁发的计价规则向招标人提供具体的报价计算分析，其各项报价分析表与工程量清单计价表之间的金额（价格）应前后对应一致。</w:t>
      </w:r>
    </w:p>
    <w:p>
      <w:pPr>
        <w:numPr>
          <w:ilvl w:val="0"/>
          <w:numId w:val="17"/>
        </w:numPr>
        <w:snapToGrid w:val="0"/>
        <w:spacing w:line="360" w:lineRule="auto"/>
        <w:ind w:left="480" w:leftChars="200"/>
        <w:rPr>
          <w:color w:val="auto"/>
          <w:highlight w:val="none"/>
        </w:rPr>
      </w:pPr>
      <w:r>
        <w:rPr>
          <w:rFonts w:hint="eastAsia"/>
          <w:color w:val="auto"/>
          <w:highlight w:val="none"/>
        </w:rPr>
        <w:t>清单报价中的任何算术性错误，招标人按下列原则予以调整：</w:t>
      </w:r>
    </w:p>
    <w:p>
      <w:pPr>
        <w:numPr>
          <w:ilvl w:val="0"/>
          <w:numId w:val="57"/>
        </w:numPr>
        <w:snapToGrid w:val="0"/>
        <w:spacing w:line="360" w:lineRule="auto"/>
        <w:ind w:left="480" w:leftChars="200"/>
        <w:rPr>
          <w:color w:val="auto"/>
          <w:highlight w:val="none"/>
        </w:rPr>
      </w:pPr>
      <w:r>
        <w:rPr>
          <w:rFonts w:hint="eastAsia"/>
          <w:color w:val="auto"/>
          <w:highlight w:val="none"/>
        </w:rPr>
        <w:t>大写金额和小写金额不一致，以大写金额为准；</w:t>
      </w:r>
    </w:p>
    <w:p>
      <w:pPr>
        <w:numPr>
          <w:ilvl w:val="0"/>
          <w:numId w:val="57"/>
        </w:numPr>
        <w:snapToGrid w:val="0"/>
        <w:spacing w:line="360" w:lineRule="auto"/>
        <w:ind w:left="480" w:leftChars="200"/>
        <w:rPr>
          <w:color w:val="auto"/>
          <w:highlight w:val="none"/>
        </w:rPr>
      </w:pPr>
      <w:r>
        <w:rPr>
          <w:rFonts w:hint="eastAsia"/>
          <w:color w:val="auto"/>
          <w:highlight w:val="none"/>
        </w:rPr>
        <w:t>2.合价金额与单价金额和工程量的乘积不一致的，以单价金额为准，但单价金额有明显错误的除外；</w:t>
      </w:r>
    </w:p>
    <w:p>
      <w:pPr>
        <w:numPr>
          <w:ilvl w:val="0"/>
          <w:numId w:val="57"/>
        </w:numPr>
        <w:snapToGrid w:val="0"/>
        <w:spacing w:line="360" w:lineRule="auto"/>
        <w:ind w:left="480" w:leftChars="200"/>
        <w:rPr>
          <w:color w:val="auto"/>
          <w:highlight w:val="none"/>
        </w:rPr>
      </w:pPr>
      <w:r>
        <w:rPr>
          <w:rFonts w:hint="eastAsia"/>
          <w:color w:val="auto"/>
          <w:highlight w:val="none"/>
        </w:rPr>
        <w:t>3.合价累计金额与小计（合计）金额不一致的，以合价累计金额为准，并修改小计（合计）金额及总报价。</w:t>
      </w:r>
    </w:p>
    <w:p>
      <w:pPr>
        <w:snapToGrid w:val="0"/>
        <w:spacing w:line="360" w:lineRule="auto"/>
        <w:ind w:firstLine="480" w:firstLineChars="200"/>
        <w:rPr>
          <w:color w:val="auto"/>
          <w:highlight w:val="none"/>
        </w:rPr>
      </w:pPr>
      <w:r>
        <w:rPr>
          <w:rFonts w:hint="eastAsia"/>
          <w:color w:val="auto"/>
          <w:highlight w:val="none"/>
        </w:rPr>
        <w:t>（六）根据住房和城乡建设部、省级造价主管部门对造价从业人员执业管理的相关法律法规规定以及《建设工程工程量清单计价规范》（GB50500-2013）的规定，投标报价的编制必须遵守以下规定：</w:t>
      </w:r>
    </w:p>
    <w:p>
      <w:pPr>
        <w:snapToGrid w:val="0"/>
        <w:spacing w:line="360" w:lineRule="auto"/>
        <w:ind w:firstLine="480" w:firstLineChars="200"/>
        <w:rPr>
          <w:color w:val="auto"/>
          <w:highlight w:val="none"/>
        </w:rPr>
      </w:pPr>
      <w:r>
        <w:rPr>
          <w:rFonts w:hint="eastAsia"/>
          <w:color w:val="auto"/>
          <w:highlight w:val="none"/>
        </w:rPr>
        <w:t>1.投标报价应由投标人或受其委托具有相应能力的工程造价咨询人编制。投标人委托具有相应能力的工程造价咨询人编制投标报价书的，投标文件中应附情况说明、委托编制投标报价的咨询合同书等。</w:t>
      </w:r>
    </w:p>
    <w:p>
      <w:pPr>
        <w:snapToGrid w:val="0"/>
        <w:spacing w:line="360" w:lineRule="auto"/>
        <w:ind w:firstLine="480" w:firstLineChars="200"/>
        <w:rPr>
          <w:color w:val="auto"/>
          <w:highlight w:val="none"/>
        </w:rPr>
      </w:pPr>
      <w:r>
        <w:rPr>
          <w:rFonts w:hint="eastAsia"/>
          <w:color w:val="auto"/>
          <w:highlight w:val="none"/>
        </w:rPr>
        <w:t>2.投标文件的编制人不得接受同一工程招标人委托编制招标文件（含招标控制价)，并不得接受其他投标人委托编制投标文件。</w:t>
      </w:r>
    </w:p>
    <w:p>
      <w:pPr>
        <w:pStyle w:val="17"/>
        <w:ind w:firstLine="480" w:firstLineChars="200"/>
        <w:jc w:val="left"/>
        <w:rPr>
          <w:b w:val="0"/>
          <w:bCs/>
          <w:color w:val="auto"/>
          <w:highlight w:val="none"/>
        </w:rPr>
      </w:pPr>
      <w:r>
        <w:rPr>
          <w:rFonts w:hint="eastAsia"/>
          <w:b w:val="0"/>
          <w:bCs/>
          <w:color w:val="auto"/>
          <w:highlight w:val="none"/>
        </w:rPr>
        <w:t>附：</w:t>
      </w:r>
    </w:p>
    <w:p>
      <w:pPr>
        <w:pStyle w:val="17"/>
        <w:ind w:firstLine="480" w:firstLineChars="200"/>
        <w:jc w:val="left"/>
        <w:rPr>
          <w:b w:val="0"/>
          <w:bCs/>
          <w:color w:val="auto"/>
          <w:highlight w:val="none"/>
        </w:rPr>
      </w:pPr>
      <w:r>
        <w:rPr>
          <w:rFonts w:hint="eastAsia"/>
          <w:b w:val="0"/>
          <w:bCs/>
          <w:color w:val="auto"/>
          <w:highlight w:val="none"/>
        </w:rPr>
        <w:t>工程量清单及计价采用的表格格式如下（具体见附件）：</w:t>
      </w:r>
    </w:p>
    <w:p>
      <w:pPr>
        <w:pStyle w:val="17"/>
        <w:ind w:firstLine="480" w:firstLineChars="200"/>
        <w:jc w:val="left"/>
        <w:rPr>
          <w:b w:val="0"/>
          <w:bCs/>
          <w:color w:val="auto"/>
          <w:highlight w:val="none"/>
        </w:rPr>
      </w:pPr>
      <w:r>
        <w:rPr>
          <w:rFonts w:hint="eastAsia"/>
          <w:b w:val="0"/>
          <w:bCs/>
          <w:color w:val="auto"/>
          <w:highlight w:val="none"/>
        </w:rPr>
        <w:t>1.工程量清单及计价表：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投标报价封面</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投标报价扉页</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编制说明</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投标报价费用表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单位（专业）工程投标报价费用表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分部分项工程和施工技术措施费项目清单与计价表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综合单价计算表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综合单价工料机分析表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施工组织措施项目清单与计价表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其他项目清单与计价汇总表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暂列金额明细表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材料（工程设备）暂估单价及调整表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专业工程暂估价表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专项技术措施暂估价表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计日工表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总承包服务费计价表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主要工日一览表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发包人提供材料和设备一览表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主要材料和工程设备一览表</w:t>
      </w:r>
    </w:p>
    <w:p>
      <w:pPr>
        <w:pStyle w:val="22"/>
        <w:numPr>
          <w:ilvl w:val="0"/>
          <w:numId w:val="58"/>
        </w:numPr>
        <w:snapToGrid w:val="0"/>
        <w:spacing w:line="360" w:lineRule="auto"/>
        <w:ind w:left="0" w:firstLine="480" w:firstLineChars="200"/>
        <w:rPr>
          <w:color w:val="auto"/>
          <w:highlight w:val="none"/>
        </w:rPr>
      </w:pPr>
      <w:r>
        <w:rPr>
          <w:rFonts w:hint="eastAsia" w:ascii="宋体" w:hAnsi="宋体"/>
          <w:color w:val="auto"/>
          <w:highlight w:val="none"/>
        </w:rPr>
        <w:t>主要机械台班一览表</w:t>
      </w:r>
    </w:p>
    <w:p>
      <w:pPr>
        <w:pStyle w:val="17"/>
        <w:jc w:val="both"/>
        <w:rPr>
          <w:rFonts w:ascii="Calibri" w:hAnsi="Calibri"/>
          <w:color w:val="auto"/>
          <w:highlight w:val="none"/>
        </w:rPr>
      </w:pPr>
      <w:r>
        <w:rPr>
          <w:rFonts w:hint="eastAsia" w:ascii="Calibri" w:hAnsi="Calibri"/>
          <w:b w:val="0"/>
          <w:bCs/>
          <w:color w:val="auto"/>
          <w:highlight w:val="none"/>
        </w:rPr>
        <w:t>2.</w:t>
      </w:r>
      <w:r>
        <w:rPr>
          <w:rFonts w:hint="eastAsia"/>
          <w:b w:val="0"/>
          <w:bCs/>
          <w:color w:val="auto"/>
          <w:highlight w:val="none"/>
        </w:rPr>
        <w:t>根据招标人工程量清单编制要求填报具体的表格。</w:t>
      </w:r>
      <w:r>
        <w:rPr>
          <w:rFonts w:ascii="Calibri" w:hAnsi="Calibri"/>
          <w:color w:val="auto"/>
          <w:highlight w:val="none"/>
        </w:rPr>
        <w:br w:type="page"/>
      </w:r>
    </w:p>
    <w:p>
      <w:pPr>
        <w:widowControl/>
        <w:spacing w:before="100" w:beforeAutospacing="1" w:after="100" w:afterAutospacing="1"/>
        <w:ind w:firstLine="240" w:firstLineChars="100"/>
        <w:jc w:val="center"/>
        <w:rPr>
          <w:rFonts w:ascii="宋体" w:hAnsi="宋体"/>
          <w:color w:val="auto"/>
          <w:highlight w:val="none"/>
        </w:rPr>
      </w:pPr>
      <w:r>
        <w:rPr>
          <w:rFonts w:hint="eastAsia" w:ascii="宋体" w:hAnsi="宋体"/>
          <w:color w:val="auto"/>
          <w:highlight w:val="none"/>
        </w:rPr>
        <w:t>投标报价封面</w:t>
      </w:r>
    </w:p>
    <w:tbl>
      <w:tblPr>
        <w:tblStyle w:val="1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hAnsi="宋体"/>
                <w:color w:val="auto"/>
                <w:highlight w:val="none"/>
              </w:rPr>
            </w:pPr>
          </w:p>
          <w:p>
            <w:pPr>
              <w:pStyle w:val="17"/>
              <w:rPr>
                <w:color w:val="auto"/>
                <w:highlight w:val="none"/>
              </w:rPr>
            </w:pPr>
          </w:p>
          <w:p>
            <w:pPr>
              <w:rPr>
                <w:color w:val="auto"/>
                <w:highlight w:val="none"/>
              </w:rPr>
            </w:pPr>
          </w:p>
          <w:p>
            <w:pPr>
              <w:pStyle w:val="17"/>
              <w:rPr>
                <w:color w:val="auto"/>
                <w:highlight w:val="none"/>
              </w:rPr>
            </w:pPr>
          </w:p>
          <w:p>
            <w:pPr>
              <w:jc w:val="center"/>
              <w:rPr>
                <w:color w:val="auto"/>
                <w:highlight w:val="none"/>
              </w:rPr>
            </w:pPr>
            <w:r>
              <w:rPr>
                <w:rFonts w:hint="eastAsia"/>
                <w:color w:val="auto"/>
                <w:sz w:val="28"/>
                <w:szCs w:val="28"/>
                <w:highlight w:val="none"/>
                <w:u w:val="single"/>
              </w:rPr>
              <w:t xml:space="preserve">                    </w:t>
            </w:r>
            <w:r>
              <w:rPr>
                <w:rFonts w:hint="eastAsia"/>
                <w:color w:val="auto"/>
                <w:sz w:val="28"/>
                <w:szCs w:val="28"/>
                <w:highlight w:val="none"/>
              </w:rPr>
              <w:t>工程</w:t>
            </w:r>
          </w:p>
          <w:p>
            <w:pPr>
              <w:pStyle w:val="17"/>
              <w:rPr>
                <w:color w:val="auto"/>
                <w:highlight w:val="none"/>
              </w:rPr>
            </w:pPr>
          </w:p>
          <w:p>
            <w:pPr>
              <w:rPr>
                <w:color w:val="auto"/>
                <w:highlight w:val="none"/>
              </w:rPr>
            </w:pPr>
          </w:p>
          <w:p>
            <w:pPr>
              <w:pStyle w:val="17"/>
              <w:rPr>
                <w:color w:val="auto"/>
                <w:sz w:val="44"/>
                <w:szCs w:val="44"/>
                <w:highlight w:val="none"/>
              </w:rPr>
            </w:pPr>
            <w:r>
              <w:rPr>
                <w:rFonts w:hint="eastAsia"/>
                <w:color w:val="auto"/>
                <w:sz w:val="44"/>
                <w:szCs w:val="44"/>
                <w:highlight w:val="none"/>
              </w:rPr>
              <w:t>投 标 报 价</w:t>
            </w: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pStyle w:val="17"/>
              <w:rPr>
                <w:color w:val="auto"/>
                <w:highlight w:val="none"/>
              </w:rPr>
            </w:pPr>
            <w:r>
              <w:rPr>
                <w:color w:val="auto"/>
                <w:highlight w:val="none"/>
              </w:rPr>
              <w:t>投标人：</w:t>
            </w:r>
            <w:r>
              <w:rPr>
                <w:rFonts w:hint="eastAsia"/>
                <w:color w:val="auto"/>
                <w:highlight w:val="none"/>
                <w:u w:val="single"/>
              </w:rPr>
              <w:t xml:space="preserve">                       </w:t>
            </w:r>
            <w:r>
              <w:rPr>
                <w:rFonts w:hint="eastAsia"/>
                <w:color w:val="auto"/>
                <w:highlight w:val="none"/>
              </w:rPr>
              <w:t>（单位盖章）</w:t>
            </w:r>
          </w:p>
          <w:p>
            <w:pPr>
              <w:ind w:firstLine="1800" w:firstLineChars="750"/>
              <w:rPr>
                <w:rFonts w:ascii="宋体" w:hAnsi="宋体"/>
                <w:color w:val="auto"/>
                <w:highlight w:val="none"/>
              </w:rPr>
            </w:pPr>
          </w:p>
          <w:p>
            <w:pPr>
              <w:jc w:val="center"/>
              <w:rPr>
                <w:rFonts w:ascii="宋体" w:hAnsi="宋体"/>
                <w:color w:val="auto"/>
                <w:highlight w:val="none"/>
              </w:rPr>
            </w:pPr>
          </w:p>
          <w:p>
            <w:pPr>
              <w:rPr>
                <w:color w:val="auto"/>
                <w:highlight w:val="none"/>
              </w:rPr>
            </w:pPr>
          </w:p>
          <w:p>
            <w:pPr>
              <w:pStyle w:val="17"/>
              <w:rPr>
                <w:color w:val="auto"/>
                <w:highlight w:val="none"/>
              </w:rPr>
            </w:pPr>
          </w:p>
          <w:p>
            <w:pPr>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r>
              <w:rPr>
                <w:rFonts w:hint="eastAsia"/>
                <w:color w:val="auto"/>
                <w:highlight w:val="none"/>
              </w:rPr>
              <w:t>年   月   日</w:t>
            </w:r>
          </w:p>
          <w:p>
            <w:pPr>
              <w:rPr>
                <w:color w:val="auto"/>
                <w:highlight w:val="none"/>
              </w:rPr>
            </w:pPr>
          </w:p>
        </w:tc>
      </w:tr>
    </w:tbl>
    <w:p>
      <w:pPr>
        <w:pStyle w:val="17"/>
        <w:rPr>
          <w:rFonts w:ascii="宋体" w:hAnsi="宋体"/>
          <w:color w:val="auto"/>
          <w:highlight w:val="none"/>
        </w:rPr>
      </w:pPr>
      <w:r>
        <w:rPr>
          <w:color w:val="auto"/>
          <w:highlight w:val="none"/>
        </w:rPr>
        <w:br w:type="page"/>
      </w:r>
      <w:r>
        <w:rPr>
          <w:rFonts w:hint="eastAsia" w:ascii="宋体" w:hAnsi="宋体"/>
          <w:color w:val="auto"/>
          <w:highlight w:val="none"/>
        </w:rPr>
        <w:t>投标报价扉页</w:t>
      </w:r>
    </w:p>
    <w:tbl>
      <w:tblPr>
        <w:tblStyle w:val="1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rPr>
                <w:rFonts w:hAnsi="宋体"/>
                <w:color w:val="auto"/>
                <w:highlight w:val="none"/>
              </w:rPr>
            </w:pPr>
          </w:p>
          <w:p>
            <w:pPr>
              <w:pStyle w:val="17"/>
              <w:rPr>
                <w:color w:val="auto"/>
                <w:highlight w:val="none"/>
              </w:rPr>
            </w:pPr>
          </w:p>
          <w:p>
            <w:pPr>
              <w:pStyle w:val="17"/>
              <w:rPr>
                <w:color w:val="auto"/>
                <w:highlight w:val="none"/>
              </w:rPr>
            </w:pPr>
          </w:p>
          <w:p>
            <w:pPr>
              <w:rPr>
                <w:color w:val="auto"/>
                <w:highlight w:val="none"/>
              </w:rPr>
            </w:pPr>
          </w:p>
          <w:p>
            <w:pPr>
              <w:pStyle w:val="17"/>
              <w:rPr>
                <w:color w:val="auto"/>
                <w:highlight w:val="none"/>
              </w:rPr>
            </w:pPr>
            <w:r>
              <w:rPr>
                <w:rFonts w:hint="eastAsia"/>
                <w:color w:val="auto"/>
                <w:highlight w:val="none"/>
              </w:rPr>
              <w:t>投标报价</w:t>
            </w:r>
          </w:p>
          <w:p>
            <w:pPr>
              <w:pStyle w:val="17"/>
              <w:rPr>
                <w:color w:val="auto"/>
                <w:highlight w:val="none"/>
              </w:rPr>
            </w:pPr>
          </w:p>
          <w:p>
            <w:pPr>
              <w:rPr>
                <w:color w:val="auto"/>
                <w:highlight w:val="none"/>
              </w:rPr>
            </w:pPr>
          </w:p>
          <w:p>
            <w:pPr>
              <w:pStyle w:val="17"/>
              <w:rPr>
                <w:color w:val="auto"/>
                <w:highlight w:val="none"/>
              </w:rPr>
            </w:pPr>
          </w:p>
          <w:p>
            <w:pPr>
              <w:ind w:firstLine="1800" w:firstLineChars="750"/>
              <w:rPr>
                <w:rFonts w:ascii="宋体" w:hAnsi="宋体"/>
                <w:color w:val="auto"/>
                <w:highlight w:val="none"/>
                <w:u w:val="single"/>
              </w:rPr>
            </w:pPr>
            <w:r>
              <w:rPr>
                <w:rFonts w:hint="eastAsia" w:ascii="宋体" w:hAnsi="宋体"/>
                <w:color w:val="auto"/>
                <w:highlight w:val="none"/>
              </w:rPr>
              <w:t>招   标  人：</w:t>
            </w:r>
            <w:r>
              <w:rPr>
                <w:rFonts w:hint="eastAsia" w:ascii="宋体" w:hAnsi="宋体"/>
                <w:color w:val="auto"/>
                <w:highlight w:val="none"/>
                <w:u w:val="single"/>
              </w:rPr>
              <w:t xml:space="preserve">                             </w:t>
            </w:r>
          </w:p>
          <w:p>
            <w:pPr>
              <w:pStyle w:val="17"/>
              <w:rPr>
                <w:color w:val="auto"/>
                <w:highlight w:val="none"/>
              </w:rPr>
            </w:pPr>
          </w:p>
          <w:p>
            <w:pPr>
              <w:ind w:firstLine="1800" w:firstLineChars="750"/>
              <w:rPr>
                <w:rFonts w:ascii="宋体" w:hAnsi="宋体"/>
                <w:color w:val="auto"/>
                <w:highlight w:val="none"/>
                <w:u w:val="single"/>
              </w:rPr>
            </w:pPr>
            <w:r>
              <w:rPr>
                <w:rFonts w:hint="eastAsia" w:ascii="宋体" w:hAnsi="宋体"/>
                <w:color w:val="auto"/>
                <w:highlight w:val="none"/>
              </w:rPr>
              <w:t>工 程 名 称：</w:t>
            </w:r>
            <w:r>
              <w:rPr>
                <w:rFonts w:hint="eastAsia" w:ascii="宋体" w:hAnsi="宋体"/>
                <w:color w:val="auto"/>
                <w:highlight w:val="none"/>
                <w:u w:val="single"/>
              </w:rPr>
              <w:t xml:space="preserve">                             </w:t>
            </w:r>
          </w:p>
          <w:p>
            <w:pPr>
              <w:pStyle w:val="17"/>
              <w:rPr>
                <w:color w:val="auto"/>
                <w:highlight w:val="none"/>
              </w:rPr>
            </w:pPr>
          </w:p>
          <w:p>
            <w:pPr>
              <w:ind w:firstLine="1800" w:firstLineChars="750"/>
              <w:rPr>
                <w:rFonts w:ascii="宋体" w:hAnsi="宋体"/>
                <w:color w:val="auto"/>
                <w:highlight w:val="none"/>
                <w:u w:val="single"/>
              </w:rPr>
            </w:pPr>
            <w:r>
              <w:rPr>
                <w:rFonts w:hint="eastAsia" w:ascii="宋体" w:hAnsi="宋体"/>
                <w:color w:val="auto"/>
                <w:highlight w:val="none"/>
              </w:rPr>
              <w:t>投标总价（小写）：</w:t>
            </w:r>
            <w:r>
              <w:rPr>
                <w:rFonts w:hint="eastAsia" w:ascii="宋体" w:hAnsi="宋体"/>
                <w:color w:val="auto"/>
                <w:highlight w:val="none"/>
                <w:u w:val="single"/>
              </w:rPr>
              <w:t xml:space="preserve">                        </w:t>
            </w:r>
          </w:p>
          <w:p>
            <w:pPr>
              <w:pStyle w:val="17"/>
              <w:rPr>
                <w:color w:val="auto"/>
                <w:highlight w:val="none"/>
              </w:rPr>
            </w:pPr>
          </w:p>
          <w:p>
            <w:pPr>
              <w:ind w:firstLine="2760" w:firstLineChars="1150"/>
              <w:rPr>
                <w:rFonts w:ascii="宋体" w:hAnsi="宋体"/>
                <w:color w:val="auto"/>
                <w:highlight w:val="none"/>
                <w:u w:val="single"/>
              </w:rPr>
            </w:pPr>
            <w:r>
              <w:rPr>
                <w:rFonts w:hint="eastAsia" w:ascii="宋体" w:hAnsi="宋体"/>
                <w:color w:val="auto"/>
                <w:highlight w:val="none"/>
              </w:rPr>
              <w:t>（大写）：</w:t>
            </w:r>
            <w:r>
              <w:rPr>
                <w:rFonts w:hint="eastAsia" w:ascii="宋体" w:hAnsi="宋体"/>
                <w:color w:val="auto"/>
                <w:highlight w:val="none"/>
                <w:u w:val="single"/>
              </w:rPr>
              <w:t xml:space="preserve">                        </w:t>
            </w:r>
          </w:p>
          <w:p>
            <w:pPr>
              <w:pStyle w:val="17"/>
              <w:rPr>
                <w:color w:val="auto"/>
                <w:highlight w:val="none"/>
              </w:rPr>
            </w:pPr>
          </w:p>
          <w:p>
            <w:pPr>
              <w:ind w:firstLine="1800" w:firstLineChars="750"/>
              <w:rPr>
                <w:rFonts w:ascii="宋体" w:hAnsi="宋体"/>
                <w:color w:val="auto"/>
                <w:highlight w:val="none"/>
              </w:rPr>
            </w:pPr>
            <w:r>
              <w:rPr>
                <w:rFonts w:hint="eastAsia" w:ascii="宋体" w:hAnsi="宋体"/>
                <w:color w:val="auto"/>
                <w:highlight w:val="none"/>
              </w:rPr>
              <w:t>投标人：</w:t>
            </w:r>
            <w:r>
              <w:rPr>
                <w:rFonts w:hint="eastAsia" w:ascii="宋体" w:hAnsi="宋体"/>
                <w:color w:val="auto"/>
                <w:highlight w:val="none"/>
                <w:u w:val="single"/>
              </w:rPr>
              <w:t xml:space="preserve">                       </w:t>
            </w:r>
            <w:r>
              <w:rPr>
                <w:rFonts w:hint="eastAsia" w:ascii="宋体" w:hAnsi="宋体"/>
                <w:color w:val="auto"/>
                <w:highlight w:val="none"/>
              </w:rPr>
              <w:t>（单位盖章）</w:t>
            </w:r>
          </w:p>
          <w:p>
            <w:pPr>
              <w:pStyle w:val="17"/>
              <w:rPr>
                <w:color w:val="auto"/>
                <w:highlight w:val="none"/>
              </w:rPr>
            </w:pPr>
          </w:p>
          <w:p>
            <w:pPr>
              <w:ind w:firstLine="1800" w:firstLineChars="750"/>
              <w:rPr>
                <w:rFonts w:ascii="宋体" w:hAnsi="宋体"/>
                <w:color w:val="auto"/>
                <w:highlight w:val="none"/>
              </w:rPr>
            </w:pPr>
            <w:r>
              <w:rPr>
                <w:rFonts w:hint="eastAsia" w:ascii="宋体" w:hAnsi="宋体"/>
                <w:color w:val="auto"/>
                <w:highlight w:val="none"/>
              </w:rPr>
              <w:t>法定代表人</w:t>
            </w:r>
          </w:p>
          <w:p>
            <w:pPr>
              <w:ind w:firstLine="1800" w:firstLineChars="750"/>
              <w:rPr>
                <w:rFonts w:ascii="宋体" w:hAnsi="宋体"/>
                <w:color w:val="auto"/>
                <w:highlight w:val="none"/>
              </w:rPr>
            </w:pPr>
            <w:r>
              <w:rPr>
                <w:rFonts w:hint="eastAsia" w:ascii="宋体" w:hAnsi="宋体"/>
                <w:color w:val="auto"/>
                <w:highlight w:val="none"/>
              </w:rPr>
              <w:t>或其授权人：</w:t>
            </w:r>
            <w:r>
              <w:rPr>
                <w:rFonts w:hint="eastAsia" w:ascii="宋体" w:hAnsi="宋体"/>
                <w:color w:val="auto"/>
                <w:highlight w:val="none"/>
                <w:u w:val="single"/>
              </w:rPr>
              <w:t xml:space="preserve">                  </w:t>
            </w:r>
            <w:r>
              <w:rPr>
                <w:rFonts w:hint="eastAsia" w:ascii="宋体" w:hAnsi="宋体"/>
                <w:color w:val="auto"/>
                <w:highlight w:val="none"/>
              </w:rPr>
              <w:t>（签字或盖章）</w:t>
            </w:r>
          </w:p>
          <w:p>
            <w:pPr>
              <w:ind w:firstLine="1800" w:firstLineChars="750"/>
              <w:rPr>
                <w:rFonts w:ascii="宋体" w:hAnsi="宋体"/>
                <w:color w:val="auto"/>
                <w:highlight w:val="none"/>
              </w:rPr>
            </w:pPr>
          </w:p>
          <w:p>
            <w:pPr>
              <w:ind w:firstLine="1800" w:firstLineChars="750"/>
              <w:rPr>
                <w:color w:val="auto"/>
                <w:highlight w:val="none"/>
              </w:rPr>
            </w:pPr>
            <w:r>
              <w:rPr>
                <w:rFonts w:hint="eastAsia" w:ascii="宋体" w:hAnsi="宋体"/>
                <w:color w:val="auto"/>
                <w:highlight w:val="none"/>
              </w:rPr>
              <w:t>编  制  人：</w:t>
            </w:r>
            <w:r>
              <w:rPr>
                <w:rFonts w:hint="eastAsia" w:ascii="宋体" w:hAnsi="宋体"/>
                <w:color w:val="auto"/>
                <w:highlight w:val="none"/>
                <w:u w:val="single"/>
              </w:rPr>
              <w:t xml:space="preserve">                               </w:t>
            </w:r>
          </w:p>
          <w:p>
            <w:pPr>
              <w:rPr>
                <w:color w:val="auto"/>
                <w:highlight w:val="none"/>
              </w:rPr>
            </w:pPr>
          </w:p>
          <w:p>
            <w:pPr>
              <w:pStyle w:val="17"/>
              <w:rPr>
                <w:color w:val="auto"/>
                <w:highlight w:val="none"/>
              </w:rPr>
            </w:pPr>
            <w:r>
              <w:rPr>
                <w:rFonts w:hint="eastAsia"/>
                <w:color w:val="auto"/>
                <w:highlight w:val="none"/>
              </w:rPr>
              <w:t>年  月  日</w:t>
            </w:r>
          </w:p>
          <w:p>
            <w:pPr>
              <w:rPr>
                <w:color w:val="auto"/>
                <w:highlight w:val="none"/>
              </w:rPr>
            </w:pPr>
          </w:p>
        </w:tc>
      </w:tr>
    </w:tbl>
    <w:p>
      <w:pPr>
        <w:widowControl/>
        <w:spacing w:before="100" w:beforeAutospacing="1" w:after="100" w:afterAutospacing="1" w:line="360" w:lineRule="auto"/>
        <w:rPr>
          <w:rFonts w:ascii="宋体" w:hAnsi="宋体"/>
          <w:color w:val="auto"/>
          <w:sz w:val="28"/>
          <w:szCs w:val="28"/>
          <w:highlight w:val="none"/>
        </w:rPr>
      </w:pPr>
    </w:p>
    <w:p>
      <w:pPr>
        <w:pStyle w:val="3"/>
        <w:rPr>
          <w:color w:val="auto"/>
          <w:highlight w:val="none"/>
        </w:rPr>
      </w:pPr>
    </w:p>
    <w:p>
      <w:pPr>
        <w:pStyle w:val="17"/>
        <w:rPr>
          <w:color w:val="auto"/>
          <w:highlight w:val="none"/>
        </w:rPr>
      </w:pPr>
      <w:r>
        <w:rPr>
          <w:rFonts w:hint="eastAsia"/>
          <w:color w:val="auto"/>
          <w:highlight w:val="none"/>
        </w:rPr>
        <w:t>编制说明</w:t>
      </w:r>
    </w:p>
    <w:p>
      <w:pPr>
        <w:widowControl/>
        <w:snapToGrid w:val="0"/>
        <w:rPr>
          <w:rFonts w:ascii="宋体" w:hAnsi="宋体"/>
          <w:color w:val="auto"/>
          <w:highlight w:val="none"/>
        </w:rPr>
      </w:pPr>
      <w:r>
        <w:rPr>
          <w:rFonts w:hint="eastAsia" w:ascii="宋体" w:hAnsi="宋体"/>
          <w:color w:val="auto"/>
          <w:highlight w:val="none"/>
        </w:rPr>
        <w:t>工程名称：                                            第  页 共  页</w:t>
      </w:r>
    </w:p>
    <w:tbl>
      <w:tblPr>
        <w:tblStyle w:val="1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tcBorders>
              <w:top w:val="single" w:color="auto" w:sz="4" w:space="0"/>
              <w:left w:val="single" w:color="auto" w:sz="4" w:space="0"/>
              <w:bottom w:val="single" w:color="auto" w:sz="4" w:space="0"/>
              <w:right w:val="single" w:color="auto" w:sz="4" w:space="0"/>
            </w:tcBorders>
          </w:tcPr>
          <w:p>
            <w:pPr>
              <w:widowControl/>
              <w:spacing w:before="100" w:beforeAutospacing="1" w:line="300" w:lineRule="auto"/>
              <w:ind w:firstLine="480" w:firstLineChars="200"/>
              <w:rPr>
                <w:rFonts w:ascii="宋体" w:hAnsi="宋体"/>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rPr>
                <w:color w:val="auto"/>
                <w:highlight w:val="none"/>
              </w:rPr>
            </w:pPr>
          </w:p>
        </w:tc>
      </w:tr>
    </w:tbl>
    <w:p>
      <w:pPr>
        <w:jc w:val="center"/>
        <w:rPr>
          <w:rFonts w:ascii="宋体" w:hAnsi="宋体"/>
          <w:color w:val="auto"/>
          <w:highlight w:val="none"/>
        </w:rPr>
      </w:pPr>
    </w:p>
    <w:p>
      <w:pPr>
        <w:pStyle w:val="17"/>
        <w:jc w:val="both"/>
        <w:rPr>
          <w:color w:val="auto"/>
          <w:highlight w:val="none"/>
        </w:rPr>
      </w:pPr>
      <w:r>
        <w:rPr>
          <w:color w:val="auto"/>
          <w:highlight w:val="none"/>
        </w:rPr>
        <w:br w:type="page"/>
      </w:r>
    </w:p>
    <w:p>
      <w:pPr>
        <w:jc w:val="center"/>
        <w:rPr>
          <w:rFonts w:ascii="宋体" w:hAnsi="宋体"/>
          <w:b/>
          <w:bCs/>
          <w:color w:val="auto"/>
          <w:highlight w:val="none"/>
        </w:rPr>
      </w:pPr>
      <w:r>
        <w:rPr>
          <w:rFonts w:hint="eastAsia" w:ascii="宋体" w:hAnsi="宋体"/>
          <w:b/>
          <w:bCs/>
          <w:color w:val="auto"/>
          <w:highlight w:val="none"/>
        </w:rPr>
        <w:t>投标报价费用表</w:t>
      </w:r>
    </w:p>
    <w:p>
      <w:pPr>
        <w:pStyle w:val="17"/>
        <w:rPr>
          <w:color w:val="auto"/>
          <w:highlight w:val="none"/>
        </w:rPr>
      </w:pPr>
    </w:p>
    <w:p>
      <w:pPr>
        <w:ind w:firstLine="410" w:firstLineChars="171"/>
        <w:rPr>
          <w:rFonts w:ascii="宋体" w:hAnsi="宋体"/>
          <w:color w:val="auto"/>
          <w:highlight w:val="none"/>
        </w:rPr>
      </w:pPr>
      <w:r>
        <w:rPr>
          <w:rFonts w:hint="eastAsia" w:ascii="宋体" w:hAnsi="宋体"/>
          <w:color w:val="auto"/>
          <w:highlight w:val="none"/>
        </w:rPr>
        <w:t>工程名称：                                            第  页 共  页</w:t>
      </w:r>
    </w:p>
    <w:tbl>
      <w:tblPr>
        <w:tblStyle w:val="18"/>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1080"/>
        <w:gridCol w:w="900"/>
        <w:gridCol w:w="144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序号</w:t>
            </w:r>
          </w:p>
        </w:tc>
        <w:tc>
          <w:tcPr>
            <w:tcW w:w="180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工程名称</w:t>
            </w:r>
          </w:p>
        </w:tc>
        <w:tc>
          <w:tcPr>
            <w:tcW w:w="108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金额（元）</w:t>
            </w:r>
          </w:p>
        </w:tc>
        <w:tc>
          <w:tcPr>
            <w:tcW w:w="4140"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其中：（元）</w:t>
            </w:r>
          </w:p>
        </w:tc>
        <w:tc>
          <w:tcPr>
            <w:tcW w:w="90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highlight w:val="none"/>
              </w:rPr>
            </w:pPr>
          </w:p>
        </w:tc>
        <w:tc>
          <w:tcPr>
            <w:tcW w:w="180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highlight w:val="none"/>
              </w:rPr>
            </w:pPr>
          </w:p>
        </w:tc>
        <w:tc>
          <w:tcPr>
            <w:tcW w:w="10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暂估价</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安全文明</w:t>
            </w:r>
          </w:p>
          <w:p>
            <w:pPr>
              <w:jc w:val="center"/>
              <w:rPr>
                <w:rFonts w:ascii="宋体" w:hAnsi="宋体"/>
                <w:color w:val="auto"/>
                <w:highlight w:val="none"/>
              </w:rPr>
            </w:pPr>
            <w:r>
              <w:rPr>
                <w:rFonts w:hint="eastAsia" w:ascii="宋体" w:hAnsi="宋体"/>
                <w:color w:val="auto"/>
                <w:highlight w:val="none"/>
              </w:rPr>
              <w:t>施工基本费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规费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税金</w:t>
            </w:r>
          </w:p>
        </w:tc>
        <w:tc>
          <w:tcPr>
            <w:tcW w:w="90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1" w:leftChars="-38" w:right="-113" w:rightChars="-47" w:hanging="92" w:hangingChars="38"/>
              <w:jc w:val="center"/>
              <w:rPr>
                <w:rFonts w:ascii="宋体" w:hAnsi="宋体"/>
                <w:b/>
                <w:color w:val="auto"/>
                <w:kern w:val="2"/>
                <w:highlight w:val="none"/>
              </w:rPr>
            </w:pPr>
            <w:r>
              <w:rPr>
                <w:rFonts w:hint="eastAsia" w:ascii="宋体" w:hAnsi="宋体"/>
                <w:b/>
                <w:color w:val="auto"/>
                <w:highlight w:val="none"/>
              </w:rPr>
              <w:t>1</w:t>
            </w:r>
          </w:p>
        </w:tc>
        <w:tc>
          <w:tcPr>
            <w:tcW w:w="1800" w:type="dxa"/>
            <w:tcBorders>
              <w:top w:val="single" w:color="auto" w:sz="4" w:space="0"/>
              <w:left w:val="nil"/>
              <w:bottom w:val="single" w:color="auto" w:sz="4" w:space="0"/>
              <w:right w:val="single" w:color="auto" w:sz="4" w:space="0"/>
            </w:tcBorders>
            <w:vAlign w:val="center"/>
          </w:tcPr>
          <w:p>
            <w:pPr>
              <w:ind w:left="1" w:leftChars="-38" w:right="-113" w:rightChars="-47" w:hanging="92" w:hangingChars="38"/>
              <w:jc w:val="center"/>
              <w:rPr>
                <w:rFonts w:ascii="宋体" w:hAnsi="宋体"/>
                <w:b/>
                <w:color w:val="auto"/>
                <w:highlight w:val="none"/>
              </w:rPr>
            </w:pPr>
            <w:r>
              <w:rPr>
                <w:rFonts w:hint="eastAsia" w:ascii="宋体" w:hAnsi="宋体"/>
                <w:b/>
                <w:color w:val="auto"/>
                <w:highlight w:val="none"/>
              </w:rPr>
              <w:t>××单项工程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1.1</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××单位工程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1.1.1</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××专业工程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1.2</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××单位工程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1.2.1</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××专业工程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1" w:leftChars="-38" w:right="-113" w:rightChars="-47" w:hanging="92" w:hangingChars="38"/>
              <w:jc w:val="center"/>
              <w:rPr>
                <w:rFonts w:ascii="宋体" w:hAnsi="宋体"/>
                <w:b/>
                <w:color w:val="auto"/>
                <w:kern w:val="2"/>
                <w:highlight w:val="none"/>
              </w:rPr>
            </w:pPr>
            <w:r>
              <w:rPr>
                <w:rFonts w:hint="eastAsia" w:ascii="宋体" w:hAnsi="宋体"/>
                <w:b/>
                <w:color w:val="auto"/>
                <w:highlight w:val="none"/>
              </w:rPr>
              <w:t>2</w:t>
            </w:r>
          </w:p>
        </w:tc>
        <w:tc>
          <w:tcPr>
            <w:tcW w:w="1800" w:type="dxa"/>
            <w:tcBorders>
              <w:top w:val="single" w:color="auto" w:sz="4" w:space="0"/>
              <w:left w:val="nil"/>
              <w:bottom w:val="single" w:color="auto" w:sz="4" w:space="0"/>
              <w:right w:val="single" w:color="auto" w:sz="4" w:space="0"/>
            </w:tcBorders>
            <w:vAlign w:val="center"/>
          </w:tcPr>
          <w:p>
            <w:pPr>
              <w:ind w:left="1" w:leftChars="-38" w:right="-113" w:rightChars="-47" w:hanging="92" w:hangingChars="38"/>
              <w:jc w:val="center"/>
              <w:rPr>
                <w:rFonts w:ascii="宋体" w:hAnsi="宋体"/>
                <w:b/>
                <w:color w:val="auto"/>
                <w:highlight w:val="none"/>
              </w:rPr>
            </w:pPr>
            <w:r>
              <w:rPr>
                <w:rFonts w:hint="eastAsia" w:ascii="宋体" w:hAnsi="宋体"/>
                <w:b/>
                <w:color w:val="auto"/>
                <w:highlight w:val="none"/>
              </w:rPr>
              <w:t>××单项工程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2.1</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××单位工程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2.1.1</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××专业工程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2.2</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××单位工程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2.2.1</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r>
              <w:rPr>
                <w:rFonts w:hint="eastAsia" w:ascii="宋体" w:hAnsi="宋体"/>
                <w:color w:val="auto"/>
                <w:highlight w:val="none"/>
              </w:rPr>
              <w:t>××专业工程</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Chars="-38" w:right="-113" w:rightChars="-47" w:hanging="91" w:hangingChars="38"/>
              <w:jc w:val="center"/>
              <w:rPr>
                <w:rFonts w:ascii="宋体" w:hAnsi="宋体"/>
                <w:color w:val="auto"/>
                <w:kern w:val="2"/>
                <w:highlight w:val="none"/>
              </w:rPr>
            </w:pPr>
            <w:r>
              <w:rPr>
                <w:rFonts w:hint="eastAsia" w:ascii="宋体" w:hAnsi="宋体"/>
                <w:color w:val="auto"/>
                <w:highlight w:val="none"/>
              </w:rPr>
              <w:t>···</w:t>
            </w:r>
          </w:p>
        </w:tc>
        <w:tc>
          <w:tcPr>
            <w:tcW w:w="1800" w:type="dxa"/>
            <w:tcBorders>
              <w:top w:val="single" w:color="auto" w:sz="4" w:space="0"/>
              <w:left w:val="nil"/>
              <w:bottom w:val="single" w:color="auto" w:sz="4" w:space="0"/>
              <w:right w:val="single" w:color="auto" w:sz="4" w:space="0"/>
            </w:tcBorders>
            <w:vAlign w:val="center"/>
          </w:tcPr>
          <w:p>
            <w:pPr>
              <w:ind w:leftChars="-38" w:right="-113" w:rightChars="-47" w:hanging="91" w:hangingChars="38"/>
              <w:jc w:val="center"/>
              <w:rPr>
                <w:rFonts w:ascii="宋体" w:hAnsi="宋体"/>
                <w:color w:val="auto"/>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合计</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bl>
    <w:p>
      <w:pPr>
        <w:ind w:firstLine="180" w:firstLineChars="100"/>
        <w:rPr>
          <w:rFonts w:ascii="宋体" w:hAnsi="宋体"/>
          <w:color w:val="auto"/>
          <w:sz w:val="18"/>
          <w:szCs w:val="18"/>
          <w:highlight w:val="none"/>
        </w:rPr>
      </w:pPr>
    </w:p>
    <w:p>
      <w:pPr>
        <w:ind w:firstLine="180" w:firstLineChars="100"/>
        <w:rPr>
          <w:rFonts w:ascii="宋体" w:hAnsi="宋体"/>
          <w:color w:val="auto"/>
          <w:sz w:val="18"/>
          <w:szCs w:val="18"/>
          <w:highlight w:val="none"/>
        </w:rPr>
      </w:pPr>
      <w:r>
        <w:rPr>
          <w:rFonts w:hint="eastAsia" w:ascii="宋体" w:hAnsi="宋体"/>
          <w:color w:val="auto"/>
          <w:sz w:val="18"/>
          <w:szCs w:val="18"/>
          <w:highlight w:val="none"/>
        </w:rPr>
        <w:t>注：</w:t>
      </w:r>
    </w:p>
    <w:p>
      <w:pPr>
        <w:ind w:firstLine="540" w:firstLineChars="300"/>
        <w:rPr>
          <w:rFonts w:ascii="宋体" w:hAnsi="宋体"/>
          <w:color w:val="auto"/>
          <w:sz w:val="18"/>
          <w:szCs w:val="18"/>
          <w:highlight w:val="none"/>
        </w:rPr>
      </w:pPr>
      <w:r>
        <w:rPr>
          <w:rFonts w:hint="eastAsia" w:ascii="宋体" w:hAnsi="宋体"/>
          <w:color w:val="auto"/>
          <w:sz w:val="18"/>
          <w:szCs w:val="18"/>
          <w:highlight w:val="none"/>
        </w:rPr>
        <w:t>1.本表适用于建设工程项目或单项工程招标控制价或投标报价的汇总。</w:t>
      </w: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 xml:space="preserve">  2.暂估价包括分部分项工程中的暂估价和专业工程暂估价不含发包人单独发包的专业工程暂估价。</w:t>
      </w:r>
    </w:p>
    <w:p>
      <w:pPr>
        <w:widowControl/>
        <w:autoSpaceDN/>
        <w:rPr>
          <w:rFonts w:ascii="宋体" w:hAnsi="宋体"/>
          <w:color w:val="auto"/>
          <w:sz w:val="22"/>
          <w:szCs w:val="22"/>
          <w:highlight w:val="none"/>
        </w:rPr>
      </w:pPr>
      <w:r>
        <w:rPr>
          <w:rFonts w:hint="eastAsia" w:ascii="宋体" w:hAnsi="宋体"/>
          <w:color w:val="auto"/>
          <w:highlight w:val="none"/>
        </w:rPr>
        <w:br w:type="page"/>
      </w:r>
    </w:p>
    <w:p>
      <w:pPr>
        <w:jc w:val="center"/>
        <w:rPr>
          <w:rFonts w:ascii="宋体" w:hAnsi="宋体"/>
          <w:b/>
          <w:bCs/>
          <w:color w:val="auto"/>
          <w:sz w:val="21"/>
          <w:szCs w:val="21"/>
          <w:highlight w:val="none"/>
        </w:rPr>
      </w:pPr>
      <w:r>
        <w:rPr>
          <w:rFonts w:hint="eastAsia" w:ascii="宋体" w:hAnsi="宋体"/>
          <w:b/>
          <w:bCs/>
          <w:color w:val="auto"/>
          <w:highlight w:val="none"/>
        </w:rPr>
        <w:t>单位（专业）工程投标报价费用表</w:t>
      </w:r>
    </w:p>
    <w:p>
      <w:pPr>
        <w:snapToGrid w:val="0"/>
        <w:ind w:firstLine="410" w:firstLineChars="171"/>
        <w:rPr>
          <w:rFonts w:ascii="宋体" w:hAnsi="宋体"/>
          <w:color w:val="auto"/>
          <w:highlight w:val="none"/>
        </w:rPr>
      </w:pPr>
      <w:r>
        <w:rPr>
          <w:rFonts w:hint="eastAsia" w:ascii="宋体" w:hAnsi="宋体"/>
          <w:color w:val="auto"/>
          <w:highlight w:val="none"/>
        </w:rPr>
        <w:t>工程名称：                                             第  页 共  页</w:t>
      </w:r>
    </w:p>
    <w:tbl>
      <w:tblPr>
        <w:tblStyle w:val="18"/>
        <w:tblW w:w="939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0"/>
        <w:gridCol w:w="448"/>
        <w:gridCol w:w="224"/>
        <w:gridCol w:w="14"/>
        <w:gridCol w:w="1992"/>
        <w:gridCol w:w="3730"/>
        <w:gridCol w:w="85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费用名称</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计算公式</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金额（元）</w:t>
            </w:r>
          </w:p>
        </w:tc>
        <w:tc>
          <w:tcPr>
            <w:tcW w:w="148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1</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分部分项工程费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bCs/>
                <w:color w:val="auto"/>
                <w:sz w:val="18"/>
                <w:szCs w:val="18"/>
                <w:highlight w:val="none"/>
              </w:rPr>
              <w:t>∑(分部分项工程量×综合单价）</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p>
        </w:tc>
        <w:tc>
          <w:tcPr>
            <w:tcW w:w="686"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其中</w:t>
            </w:r>
          </w:p>
        </w:tc>
        <w:tc>
          <w:tcPr>
            <w:tcW w:w="1992" w:type="dxa"/>
            <w:tcBorders>
              <w:top w:val="single" w:color="auto" w:sz="4" w:space="0"/>
              <w:left w:val="nil"/>
              <w:bottom w:val="single" w:color="auto" w:sz="4" w:space="0"/>
              <w:right w:val="single" w:color="auto" w:sz="4" w:space="0"/>
            </w:tcBorders>
            <w:vAlign w:val="center"/>
          </w:tcPr>
          <w:p>
            <w:pPr>
              <w:spacing w:line="240" w:lineRule="exact"/>
              <w:ind w:left="-10" w:leftChars="-11" w:hanging="16" w:hangingChars="9"/>
              <w:rPr>
                <w:rFonts w:ascii="宋体" w:hAnsi="宋体"/>
                <w:color w:val="auto"/>
                <w:sz w:val="18"/>
                <w:szCs w:val="18"/>
                <w:highlight w:val="none"/>
              </w:rPr>
            </w:pPr>
            <w:r>
              <w:rPr>
                <w:rFonts w:hint="eastAsia" w:ascii="宋体" w:hAnsi="宋体"/>
                <w:color w:val="auto"/>
                <w:sz w:val="18"/>
                <w:szCs w:val="18"/>
                <w:highlight w:val="none"/>
              </w:rPr>
              <w:t>1.1人工费+机械费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bCs/>
                <w:color w:val="auto"/>
                <w:sz w:val="18"/>
                <w:szCs w:val="18"/>
                <w:highlight w:val="none"/>
              </w:rPr>
              <w:t>∑分部分项（</w:t>
            </w:r>
            <w:r>
              <w:rPr>
                <w:rFonts w:hint="eastAsia" w:ascii="宋体" w:hAnsi="宋体"/>
                <w:color w:val="auto"/>
                <w:sz w:val="18"/>
                <w:szCs w:val="18"/>
                <w:highlight w:val="none"/>
              </w:rPr>
              <w:t>人工费+机械费）</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2</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措施项目费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（2.1+2.2）</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2.1</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施工技术措施项目费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bCs/>
                <w:color w:val="auto"/>
                <w:sz w:val="18"/>
                <w:szCs w:val="18"/>
                <w:highlight w:val="none"/>
              </w:rPr>
              <w:t>∑(</w:t>
            </w:r>
            <w:r>
              <w:rPr>
                <w:rFonts w:hint="eastAsia" w:ascii="宋体" w:hAnsi="宋体"/>
                <w:color w:val="auto"/>
                <w:sz w:val="18"/>
                <w:szCs w:val="18"/>
                <w:highlight w:val="none"/>
              </w:rPr>
              <w:t>技措项目</w:t>
            </w:r>
            <w:r>
              <w:rPr>
                <w:rFonts w:hint="eastAsia" w:ascii="宋体" w:hAnsi="宋体"/>
                <w:bCs/>
                <w:color w:val="auto"/>
                <w:sz w:val="18"/>
                <w:szCs w:val="18"/>
                <w:highlight w:val="none"/>
              </w:rPr>
              <w:t>工程量×综合单价）</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9"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p>
        </w:tc>
        <w:tc>
          <w:tcPr>
            <w:tcW w:w="686"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其中</w:t>
            </w:r>
          </w:p>
        </w:tc>
        <w:tc>
          <w:tcPr>
            <w:tcW w:w="1992"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2.1.1人工费+机械费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bCs/>
                <w:color w:val="auto"/>
                <w:sz w:val="18"/>
                <w:szCs w:val="18"/>
                <w:highlight w:val="none"/>
              </w:rPr>
              <w:t>∑</w:t>
            </w:r>
            <w:r>
              <w:rPr>
                <w:rFonts w:hint="eastAsia" w:ascii="宋体" w:hAnsi="宋体"/>
                <w:color w:val="auto"/>
                <w:sz w:val="18"/>
                <w:szCs w:val="18"/>
                <w:highlight w:val="none"/>
              </w:rPr>
              <w:t>技措项目</w:t>
            </w:r>
            <w:r>
              <w:rPr>
                <w:rFonts w:hint="eastAsia" w:ascii="宋体" w:hAnsi="宋体"/>
                <w:bCs/>
                <w:color w:val="auto"/>
                <w:sz w:val="18"/>
                <w:szCs w:val="18"/>
                <w:highlight w:val="none"/>
              </w:rPr>
              <w:t>（</w:t>
            </w:r>
            <w:r>
              <w:rPr>
                <w:rFonts w:hint="eastAsia" w:ascii="宋体" w:hAnsi="宋体"/>
                <w:color w:val="auto"/>
                <w:sz w:val="18"/>
                <w:szCs w:val="18"/>
                <w:highlight w:val="none"/>
              </w:rPr>
              <w:t>人工费+机械费）</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9"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2.2</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施工组织措施项目</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bCs/>
                <w:color w:val="auto"/>
                <w:sz w:val="18"/>
                <w:szCs w:val="18"/>
                <w:highlight w:val="none"/>
              </w:rPr>
              <w:t>∑计费基数×费率</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p>
        </w:tc>
        <w:tc>
          <w:tcPr>
            <w:tcW w:w="67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其中</w:t>
            </w:r>
          </w:p>
        </w:tc>
        <w:tc>
          <w:tcPr>
            <w:tcW w:w="2006"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安全文明施工基本费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bCs/>
                <w:color w:val="auto"/>
                <w:sz w:val="18"/>
                <w:szCs w:val="18"/>
                <w:highlight w:val="none"/>
              </w:rPr>
              <w:t>∑计费基数×费率</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kern w:val="2"/>
                <w:sz w:val="18"/>
                <w:szCs w:val="18"/>
                <w:highlight w:val="none"/>
              </w:rPr>
            </w:pPr>
            <w:r>
              <w:rPr>
                <w:rFonts w:hint="eastAsia" w:ascii="宋体" w:hAnsi="宋体"/>
                <w:color w:val="auto"/>
                <w:sz w:val="18"/>
                <w:szCs w:val="18"/>
                <w:highlight w:val="none"/>
              </w:rPr>
              <w:t>3</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其他项目</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（3.1+3.2+3.3+3.4）</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kern w:val="2"/>
                <w:sz w:val="18"/>
                <w:szCs w:val="18"/>
                <w:highlight w:val="none"/>
              </w:rPr>
            </w:pPr>
            <w:r>
              <w:rPr>
                <w:rFonts w:hint="eastAsia" w:ascii="宋体" w:hAnsi="宋体"/>
                <w:color w:val="auto"/>
                <w:sz w:val="18"/>
                <w:szCs w:val="18"/>
                <w:highlight w:val="none"/>
              </w:rPr>
              <w:t>3.1</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暂列金额</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3.1.1+3.1.2+3.1.3</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3.1.1</w:t>
            </w:r>
          </w:p>
        </w:tc>
        <w:tc>
          <w:tcPr>
            <w:tcW w:w="448" w:type="dxa"/>
            <w:vMerge w:val="restart"/>
            <w:tcBorders>
              <w:top w:val="nil"/>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其中</w:t>
            </w: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标化工地增加费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按招标文件规定额度列计</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3.1.2</w:t>
            </w:r>
          </w:p>
        </w:tc>
        <w:tc>
          <w:tcPr>
            <w:tcW w:w="448"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优质工程增加费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按招标文件规定额度列计</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3.1.3</w:t>
            </w:r>
          </w:p>
        </w:tc>
        <w:tc>
          <w:tcPr>
            <w:tcW w:w="448"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其他暂列金额</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按招标文件规定额度列计</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3.2</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暂估价</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3.2.1+3.2.2+3.2.3</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3.2.1</w:t>
            </w:r>
          </w:p>
        </w:tc>
        <w:tc>
          <w:tcPr>
            <w:tcW w:w="448" w:type="dxa"/>
            <w:vMerge w:val="restart"/>
            <w:tcBorders>
              <w:top w:val="nil"/>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其中</w:t>
            </w: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材料（工程设备）暂估价</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按招标文件规定额度列计(或计入综合单价)</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3.2.2</w:t>
            </w:r>
          </w:p>
        </w:tc>
        <w:tc>
          <w:tcPr>
            <w:tcW w:w="448"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专业工程暂估价</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按招标文件规定额度列计</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3.2.3</w:t>
            </w:r>
          </w:p>
        </w:tc>
        <w:tc>
          <w:tcPr>
            <w:tcW w:w="448"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专项技术措施暂估价</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按招标文件规定额度列计</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3.3</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计日工</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∑计日工（暂估数量</w:t>
            </w:r>
            <w:r>
              <w:rPr>
                <w:rFonts w:hint="eastAsia" w:ascii="宋体" w:hAnsi="宋体"/>
                <w:bCs/>
                <w:color w:val="auto"/>
                <w:sz w:val="18"/>
                <w:szCs w:val="18"/>
                <w:highlight w:val="none"/>
              </w:rPr>
              <w:t>×综合单价）</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3.4</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施工总承包服务费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3.4.1+3.4.2</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3.4.1</w:t>
            </w:r>
          </w:p>
        </w:tc>
        <w:tc>
          <w:tcPr>
            <w:tcW w:w="448" w:type="dxa"/>
            <w:vMerge w:val="restart"/>
            <w:tcBorders>
              <w:top w:val="nil"/>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其中</w:t>
            </w: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专业发包工程管理费</w:t>
            </w:r>
          </w:p>
        </w:tc>
        <w:tc>
          <w:tcPr>
            <w:tcW w:w="373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∑专业发包工程（暂估金额</w:t>
            </w:r>
            <w:r>
              <w:rPr>
                <w:rFonts w:hint="eastAsia" w:ascii="宋体" w:hAnsi="宋体"/>
                <w:bCs/>
                <w:color w:val="auto"/>
                <w:sz w:val="18"/>
                <w:szCs w:val="18"/>
                <w:highlight w:val="none"/>
              </w:rPr>
              <w:t>×</w:t>
            </w:r>
            <w:r>
              <w:rPr>
                <w:rFonts w:hint="eastAsia" w:ascii="宋体" w:hAnsi="宋体"/>
                <w:color w:val="auto"/>
                <w:sz w:val="18"/>
                <w:szCs w:val="18"/>
                <w:highlight w:val="none"/>
              </w:rPr>
              <w:t>费率）</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3.4.2</w:t>
            </w:r>
          </w:p>
        </w:tc>
        <w:tc>
          <w:tcPr>
            <w:tcW w:w="448"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2230" w:type="dxa"/>
            <w:gridSpan w:val="3"/>
            <w:tcBorders>
              <w:top w:val="single" w:color="auto" w:sz="4" w:space="0"/>
              <w:left w:val="nil"/>
              <w:bottom w:val="single" w:color="auto" w:sz="4" w:space="0"/>
              <w:right w:val="single" w:color="auto" w:sz="4" w:space="0"/>
            </w:tcBorders>
            <w:vAlign w:val="center"/>
          </w:tcPr>
          <w:p>
            <w:pPr>
              <w:spacing w:line="240" w:lineRule="exact"/>
              <w:ind w:left="91" w:hanging="91"/>
              <w:rPr>
                <w:rFonts w:ascii="宋体" w:hAnsi="宋体"/>
                <w:color w:val="auto"/>
                <w:sz w:val="18"/>
                <w:szCs w:val="18"/>
                <w:highlight w:val="none"/>
              </w:rPr>
            </w:pPr>
            <w:r>
              <w:rPr>
                <w:rFonts w:hint="eastAsia" w:ascii="宋体" w:hAnsi="宋体"/>
                <w:color w:val="auto"/>
                <w:sz w:val="18"/>
                <w:szCs w:val="18"/>
                <w:highlight w:val="none"/>
              </w:rPr>
              <w:t>甲供材料设备管理费</w:t>
            </w:r>
          </w:p>
        </w:tc>
        <w:tc>
          <w:tcPr>
            <w:tcW w:w="373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color w:val="auto"/>
                <w:spacing w:val="-10"/>
                <w:sz w:val="18"/>
                <w:szCs w:val="18"/>
                <w:highlight w:val="none"/>
              </w:rPr>
            </w:pPr>
            <w:r>
              <w:rPr>
                <w:rFonts w:hint="eastAsia" w:ascii="宋体" w:hAnsi="宋体"/>
                <w:color w:val="auto"/>
                <w:spacing w:val="-10"/>
                <w:sz w:val="18"/>
                <w:szCs w:val="18"/>
                <w:highlight w:val="none"/>
              </w:rPr>
              <w:t>甲供材料暂估金额×费率+甲供设备暂估金额×费率</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4</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规费</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（计算基数×费率）</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exact"/>
              <w:ind w:left="-16" w:leftChars="-26" w:right="-65" w:rightChars="-27" w:hanging="46" w:hangingChars="26"/>
              <w:jc w:val="center"/>
              <w:rPr>
                <w:rFonts w:ascii="宋体" w:hAnsi="宋体"/>
                <w:color w:val="auto"/>
                <w:sz w:val="18"/>
                <w:szCs w:val="18"/>
                <w:highlight w:val="none"/>
              </w:rPr>
            </w:pPr>
            <w:r>
              <w:rPr>
                <w:rFonts w:hint="eastAsia" w:ascii="宋体" w:hAnsi="宋体"/>
                <w:color w:val="auto"/>
                <w:sz w:val="18"/>
                <w:szCs w:val="18"/>
                <w:highlight w:val="none"/>
              </w:rPr>
              <w:t>5</w:t>
            </w:r>
          </w:p>
        </w:tc>
        <w:tc>
          <w:tcPr>
            <w:tcW w:w="2678"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增值税</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（计算基数×税率）</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ind w:right="-202" w:rightChars="-84" w:firstLine="226"/>
              <w:rPr>
                <w:rFonts w:ascii="宋体" w:hAnsi="宋体" w:cs="ËÎÌå"/>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3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投标报价合计</w:t>
            </w:r>
          </w:p>
        </w:tc>
        <w:tc>
          <w:tcPr>
            <w:tcW w:w="37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1+2+3+4+5</w:t>
            </w:r>
          </w:p>
        </w:tc>
        <w:tc>
          <w:tcPr>
            <w:tcW w:w="85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p>
        </w:tc>
        <w:tc>
          <w:tcPr>
            <w:tcW w:w="148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sz w:val="18"/>
                <w:szCs w:val="18"/>
                <w:highlight w:val="none"/>
              </w:rPr>
            </w:pPr>
          </w:p>
        </w:tc>
      </w:tr>
    </w:tbl>
    <w:p>
      <w:pPr>
        <w:ind w:left="811" w:leftChars="68" w:hanging="648" w:hangingChars="360"/>
        <w:rPr>
          <w:rFonts w:ascii="宋体" w:hAnsi="宋体"/>
          <w:color w:val="auto"/>
          <w:sz w:val="18"/>
          <w:szCs w:val="18"/>
          <w:highlight w:val="none"/>
        </w:rPr>
      </w:pPr>
    </w:p>
    <w:p>
      <w:pPr>
        <w:ind w:left="811" w:leftChars="68" w:hanging="648" w:hangingChars="360"/>
        <w:rPr>
          <w:rFonts w:ascii="宋体" w:hAnsi="宋体"/>
          <w:color w:val="auto"/>
          <w:sz w:val="18"/>
          <w:szCs w:val="18"/>
          <w:highlight w:val="none"/>
        </w:rPr>
      </w:pPr>
      <w:r>
        <w:rPr>
          <w:rFonts w:hint="eastAsia" w:ascii="宋体" w:hAnsi="宋体"/>
          <w:color w:val="auto"/>
          <w:sz w:val="18"/>
          <w:szCs w:val="18"/>
          <w:highlight w:val="none"/>
        </w:rPr>
        <w:t>注：</w:t>
      </w: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1.本表适用于单位工程招标控制价或投标报价的汇总，如无单位工程划分，单项工程也使用本表汇总。</w:t>
      </w: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2.材料（工程设备）暂估单价已进入清单项目综合单价的，所含“暂估价”需在本表“分部分项工程”、“措施项目（施工技术措施项目）”的对应栏目填写，“其他项目”栏目内不再汇总。</w:t>
      </w: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3.专业工程暂估价内不含发包人单独发包的专业工程暂估价。</w:t>
      </w:r>
    </w:p>
    <w:p>
      <w:pPr>
        <w:pStyle w:val="17"/>
        <w:rPr>
          <w:color w:val="auto"/>
          <w:highlight w:val="none"/>
        </w:rPr>
        <w:sectPr>
          <w:pgSz w:w="11905" w:h="16838"/>
          <w:pgMar w:top="1400" w:right="1474" w:bottom="1179" w:left="1531" w:header="0" w:footer="918" w:gutter="0"/>
          <w:cols w:space="720" w:num="1"/>
        </w:sectPr>
      </w:pPr>
    </w:p>
    <w:p>
      <w:pPr>
        <w:widowControl/>
        <w:autoSpaceDE/>
        <w:autoSpaceDN/>
        <w:adjustRightInd/>
        <w:rPr>
          <w:rFonts w:ascii="宋体" w:hAnsi="宋体" w:cs="宋体"/>
          <w:color w:val="auto"/>
          <w:highlight w:val="none"/>
        </w:rPr>
        <w:sectPr>
          <w:type w:val="continuous"/>
          <w:pgSz w:w="11905" w:h="16838"/>
          <w:pgMar w:top="1400" w:right="1587" w:bottom="1123" w:left="1587" w:header="0" w:footer="918" w:gutter="0"/>
          <w:cols w:space="720" w:num="1"/>
        </w:sectPr>
      </w:pPr>
    </w:p>
    <w:p>
      <w:pPr>
        <w:jc w:val="center"/>
        <w:rPr>
          <w:rFonts w:ascii="宋体" w:hAnsi="宋体"/>
          <w:color w:val="auto"/>
          <w:highlight w:val="none"/>
        </w:rPr>
      </w:pPr>
      <w:r>
        <w:rPr>
          <w:rFonts w:hint="eastAsia" w:ascii="宋体" w:hAnsi="宋体"/>
          <w:color w:val="auto"/>
          <w:highlight w:val="none"/>
        </w:rPr>
        <w:t>分部分项工程和施工技术措施项目清单与计价表</w:t>
      </w:r>
    </w:p>
    <w:p>
      <w:pPr>
        <w:ind w:firstLine="410" w:firstLineChars="171"/>
        <w:rPr>
          <w:rFonts w:ascii="宋体" w:hAnsi="宋体"/>
          <w:color w:val="auto"/>
          <w:sz w:val="21"/>
          <w:szCs w:val="21"/>
          <w:highlight w:val="none"/>
        </w:rPr>
      </w:pPr>
      <w:r>
        <w:rPr>
          <w:rFonts w:hint="eastAsia" w:ascii="宋体" w:hAnsi="宋体"/>
          <w:color w:val="auto"/>
          <w:highlight w:val="none"/>
        </w:rPr>
        <w:t xml:space="preserve"> 单位（专业）工程名称：                                             标段：                       第   页 共   页</w:t>
      </w:r>
    </w:p>
    <w:tbl>
      <w:tblPr>
        <w:tblStyle w:val="18"/>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080"/>
        <w:gridCol w:w="1980"/>
        <w:gridCol w:w="720"/>
        <w:gridCol w:w="900"/>
        <w:gridCol w:w="1080"/>
        <w:gridCol w:w="1260"/>
        <w:gridCol w:w="108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108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项目编码</w:t>
            </w:r>
          </w:p>
        </w:tc>
        <w:tc>
          <w:tcPr>
            <w:tcW w:w="108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项目名称</w:t>
            </w:r>
          </w:p>
        </w:tc>
        <w:tc>
          <w:tcPr>
            <w:tcW w:w="198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项目特征</w:t>
            </w:r>
          </w:p>
        </w:tc>
        <w:tc>
          <w:tcPr>
            <w:tcW w:w="72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计量单位</w:t>
            </w:r>
          </w:p>
        </w:tc>
        <w:tc>
          <w:tcPr>
            <w:tcW w:w="90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工程量</w:t>
            </w:r>
          </w:p>
        </w:tc>
        <w:tc>
          <w:tcPr>
            <w:tcW w:w="5940" w:type="dxa"/>
            <w:gridSpan w:val="5"/>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金额（元）</w:t>
            </w:r>
          </w:p>
        </w:tc>
        <w:tc>
          <w:tcPr>
            <w:tcW w:w="108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9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72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90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80" w:type="dxa"/>
            <w:vMerge w:val="restart"/>
            <w:tcBorders>
              <w:top w:val="nil"/>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综合单价</w:t>
            </w:r>
          </w:p>
        </w:tc>
        <w:tc>
          <w:tcPr>
            <w:tcW w:w="1260" w:type="dxa"/>
            <w:vMerge w:val="restart"/>
            <w:tcBorders>
              <w:top w:val="nil"/>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w:t>
            </w:r>
          </w:p>
        </w:tc>
        <w:tc>
          <w:tcPr>
            <w:tcW w:w="360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其中</w:t>
            </w:r>
          </w:p>
        </w:tc>
        <w:tc>
          <w:tcPr>
            <w:tcW w:w="10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9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72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90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80"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260"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人工费</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机械费</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暂估价</w:t>
            </w:r>
          </w:p>
        </w:tc>
        <w:tc>
          <w:tcPr>
            <w:tcW w:w="108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5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本页小计</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5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420"/>
        <w:rPr>
          <w:rFonts w:ascii="宋体" w:hAnsi="宋体"/>
          <w:color w:val="auto"/>
          <w:sz w:val="18"/>
          <w:szCs w:val="18"/>
          <w:highlight w:val="none"/>
        </w:rPr>
      </w:pPr>
      <w:r>
        <w:rPr>
          <w:rFonts w:hint="eastAsia" w:ascii="宋体" w:hAnsi="宋体"/>
          <w:color w:val="auto"/>
          <w:sz w:val="18"/>
          <w:szCs w:val="18"/>
          <w:highlight w:val="none"/>
        </w:rPr>
        <w:t>注：</w:t>
      </w:r>
    </w:p>
    <w:p>
      <w:pPr>
        <w:ind w:firstLine="777" w:firstLineChars="432"/>
        <w:rPr>
          <w:rFonts w:ascii="宋体" w:hAnsi="宋体"/>
          <w:color w:val="auto"/>
          <w:sz w:val="18"/>
          <w:szCs w:val="18"/>
          <w:highlight w:val="none"/>
        </w:rPr>
      </w:pPr>
      <w:r>
        <w:rPr>
          <w:rFonts w:hint="eastAsia" w:ascii="宋体" w:hAnsi="宋体"/>
          <w:color w:val="auto"/>
          <w:sz w:val="18"/>
          <w:szCs w:val="18"/>
          <w:highlight w:val="none"/>
        </w:rPr>
        <w:t>1.本表为分部分项和施工技术措施项目清单及计价表通用表式，使用时表头名称可简化为其中一类的计价表。</w:t>
      </w:r>
    </w:p>
    <w:p>
      <w:pPr>
        <w:ind w:firstLine="777" w:firstLineChars="432"/>
        <w:rPr>
          <w:rFonts w:ascii="宋体" w:hAnsi="宋体"/>
          <w:color w:val="auto"/>
          <w:sz w:val="18"/>
          <w:szCs w:val="18"/>
          <w:highlight w:val="none"/>
        </w:rPr>
      </w:pPr>
      <w:r>
        <w:rPr>
          <w:rFonts w:hint="eastAsia" w:ascii="宋体" w:hAnsi="宋体"/>
          <w:color w:val="auto"/>
          <w:sz w:val="18"/>
          <w:szCs w:val="18"/>
          <w:highlight w:val="none"/>
        </w:rPr>
        <w:t>2.工程招投标时“暂估价”按招标文件指定价格计入，竣工结算时以合同双方确认价格替换计入综合单价内。</w:t>
      </w:r>
    </w:p>
    <w:p>
      <w:pPr>
        <w:jc w:val="right"/>
        <w:rPr>
          <w:rFonts w:ascii="宋体" w:hAnsi="宋体" w:cs="ËÎÌå"/>
          <w:color w:val="auto"/>
          <w:sz w:val="21"/>
          <w:szCs w:val="21"/>
          <w:highlight w:val="none"/>
        </w:rPr>
      </w:pPr>
    </w:p>
    <w:p>
      <w:pPr>
        <w:pStyle w:val="17"/>
        <w:rPr>
          <w:color w:val="auto"/>
          <w:highlight w:val="none"/>
        </w:rPr>
      </w:pPr>
    </w:p>
    <w:p>
      <w:pPr>
        <w:widowControl/>
        <w:autoSpaceDE/>
        <w:autoSpaceDN/>
        <w:adjustRightInd/>
        <w:rPr>
          <w:rFonts w:ascii="宋体" w:hAnsi="宋体" w:cs="宋体"/>
          <w:b/>
          <w:bCs/>
          <w:color w:val="auto"/>
          <w:highlight w:val="none"/>
        </w:rPr>
        <w:sectPr>
          <w:pgSz w:w="16838" w:h="11905" w:orient="landscape"/>
          <w:pgMar w:top="1587" w:right="1400" w:bottom="1587" w:left="1123" w:header="0" w:footer="918" w:gutter="0"/>
          <w:cols w:space="720" w:num="1"/>
          <w:docGrid w:linePitch="326" w:charSpace="0"/>
        </w:sectPr>
      </w:pPr>
    </w:p>
    <w:p>
      <w:pPr>
        <w:jc w:val="center"/>
        <w:rPr>
          <w:rFonts w:ascii="宋体" w:hAnsi="宋体"/>
          <w:b/>
          <w:bCs/>
          <w:color w:val="auto"/>
          <w:highlight w:val="none"/>
        </w:rPr>
      </w:pPr>
      <w:r>
        <w:rPr>
          <w:rFonts w:hint="eastAsia" w:ascii="宋体" w:hAnsi="宋体"/>
          <w:b/>
          <w:bCs/>
          <w:color w:val="auto"/>
          <w:highlight w:val="none"/>
        </w:rPr>
        <w:t>综合单价计算表</w:t>
      </w:r>
    </w:p>
    <w:p>
      <w:pPr>
        <w:pStyle w:val="17"/>
        <w:rPr>
          <w:color w:val="auto"/>
          <w:highlight w:val="none"/>
        </w:rPr>
      </w:pPr>
    </w:p>
    <w:p>
      <w:pPr>
        <w:spacing w:line="280" w:lineRule="exact"/>
        <w:rPr>
          <w:color w:val="auto"/>
          <w:highlight w:val="none"/>
        </w:rPr>
      </w:pPr>
      <w:r>
        <w:rPr>
          <w:rFonts w:hint="eastAsia" w:ascii="宋体" w:hAnsi="宋体"/>
          <w:color w:val="auto"/>
          <w:highlight w:val="none"/>
        </w:rPr>
        <w:t>单位（专业）工程名称：                 标段：             第  页 共  页</w:t>
      </w:r>
    </w:p>
    <w:tbl>
      <w:tblPr>
        <w:tblStyle w:val="18"/>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43"/>
        <w:gridCol w:w="1351"/>
        <w:gridCol w:w="555"/>
        <w:gridCol w:w="652"/>
        <w:gridCol w:w="574"/>
        <w:gridCol w:w="728"/>
        <w:gridCol w:w="587"/>
        <w:gridCol w:w="658"/>
        <w:gridCol w:w="644"/>
        <w:gridCol w:w="60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53" w:leftChars="-39" w:right="-79" w:rightChars="-33" w:hanging="41" w:hangingChars="23"/>
              <w:jc w:val="center"/>
              <w:rPr>
                <w:rFonts w:ascii="宋体" w:hAnsi="宋体"/>
                <w:color w:val="auto"/>
                <w:sz w:val="18"/>
                <w:szCs w:val="18"/>
                <w:highlight w:val="none"/>
              </w:rPr>
            </w:pPr>
            <w:r>
              <w:rPr>
                <w:rFonts w:hint="eastAsia" w:ascii="宋体" w:hAnsi="宋体"/>
                <w:color w:val="auto"/>
                <w:sz w:val="18"/>
                <w:szCs w:val="18"/>
                <w:highlight w:val="none"/>
              </w:rPr>
              <w:t>清单</w:t>
            </w:r>
          </w:p>
          <w:p>
            <w:pPr>
              <w:spacing w:line="240" w:lineRule="exact"/>
              <w:ind w:left="-53" w:leftChars="-39" w:right="-79" w:rightChars="-33" w:hanging="41" w:hangingChars="23"/>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1443"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项目编码</w:t>
            </w:r>
          </w:p>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（定额编号）</w:t>
            </w:r>
          </w:p>
        </w:tc>
        <w:tc>
          <w:tcPr>
            <w:tcW w:w="1351"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清单（定额）</w:t>
            </w:r>
          </w:p>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项目名称</w:t>
            </w:r>
          </w:p>
        </w:tc>
        <w:tc>
          <w:tcPr>
            <w:tcW w:w="555" w:type="dxa"/>
            <w:vMerge w:val="restart"/>
            <w:tcBorders>
              <w:top w:val="single" w:color="auto" w:sz="4" w:space="0"/>
              <w:left w:val="nil"/>
              <w:bottom w:val="single" w:color="auto" w:sz="4" w:space="0"/>
              <w:right w:val="single" w:color="auto" w:sz="4" w:space="0"/>
            </w:tcBorders>
            <w:vAlign w:val="center"/>
          </w:tcPr>
          <w:p>
            <w:pPr>
              <w:spacing w:line="240" w:lineRule="exact"/>
              <w:ind w:left="-43" w:leftChars="-23" w:right="-67" w:rightChars="-28" w:hanging="12" w:hangingChars="7"/>
              <w:jc w:val="center"/>
              <w:rPr>
                <w:rFonts w:ascii="宋体" w:hAnsi="宋体"/>
                <w:color w:val="auto"/>
                <w:sz w:val="18"/>
                <w:szCs w:val="18"/>
                <w:highlight w:val="none"/>
              </w:rPr>
            </w:pPr>
            <w:r>
              <w:rPr>
                <w:rFonts w:hint="eastAsia" w:ascii="宋体" w:hAnsi="宋体"/>
                <w:color w:val="auto"/>
                <w:sz w:val="18"/>
                <w:szCs w:val="18"/>
                <w:highlight w:val="none"/>
              </w:rPr>
              <w:t>计量</w:t>
            </w:r>
          </w:p>
          <w:p>
            <w:pPr>
              <w:spacing w:line="240" w:lineRule="exact"/>
              <w:ind w:left="-43" w:leftChars="-23" w:right="-67" w:rightChars="-28" w:hanging="12" w:hangingChars="7"/>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652" w:type="dxa"/>
            <w:vMerge w:val="restart"/>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3791" w:type="dxa"/>
            <w:gridSpan w:val="6"/>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综合单价（元）</w:t>
            </w:r>
          </w:p>
        </w:tc>
        <w:tc>
          <w:tcPr>
            <w:tcW w:w="78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合计</w:t>
            </w:r>
          </w:p>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43"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351"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55"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652"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74" w:type="dxa"/>
            <w:tcBorders>
              <w:top w:val="single" w:color="auto" w:sz="4" w:space="0"/>
              <w:left w:val="nil"/>
              <w:bottom w:val="single" w:color="auto" w:sz="4" w:space="0"/>
              <w:right w:val="single" w:color="auto" w:sz="4" w:space="0"/>
            </w:tcBorders>
            <w:vAlign w:val="center"/>
          </w:tcPr>
          <w:p>
            <w:pPr>
              <w:spacing w:line="240" w:lineRule="exact"/>
              <w:ind w:left="-211" w:leftChars="-88" w:right="-113" w:rightChars="-47"/>
              <w:jc w:val="center"/>
              <w:rPr>
                <w:rFonts w:ascii="宋体" w:hAnsi="宋体"/>
                <w:color w:val="auto"/>
                <w:sz w:val="18"/>
                <w:szCs w:val="18"/>
                <w:highlight w:val="none"/>
              </w:rPr>
            </w:pPr>
            <w:r>
              <w:rPr>
                <w:rFonts w:hint="eastAsia" w:ascii="宋体" w:hAnsi="宋体"/>
                <w:color w:val="auto"/>
                <w:sz w:val="18"/>
                <w:szCs w:val="18"/>
                <w:highlight w:val="none"/>
              </w:rPr>
              <w:t>人工</w:t>
            </w:r>
          </w:p>
          <w:p>
            <w:pPr>
              <w:spacing w:line="240" w:lineRule="exact"/>
              <w:ind w:left="-211" w:leftChars="-88" w:right="-113" w:rightChars="-47"/>
              <w:jc w:val="center"/>
              <w:rPr>
                <w:rFonts w:ascii="宋体" w:hAnsi="宋体"/>
                <w:color w:val="auto"/>
                <w:sz w:val="18"/>
                <w:szCs w:val="18"/>
                <w:highlight w:val="none"/>
              </w:rPr>
            </w:pPr>
            <w:r>
              <w:rPr>
                <w:rFonts w:hint="eastAsia" w:ascii="宋体" w:hAnsi="宋体"/>
                <w:color w:val="auto"/>
                <w:sz w:val="18"/>
                <w:szCs w:val="18"/>
                <w:highlight w:val="none"/>
              </w:rPr>
              <w:t>费</w:t>
            </w:r>
          </w:p>
        </w:tc>
        <w:tc>
          <w:tcPr>
            <w:tcW w:w="728" w:type="dxa"/>
            <w:tcBorders>
              <w:top w:val="single" w:color="auto" w:sz="4" w:space="0"/>
              <w:left w:val="nil"/>
              <w:bottom w:val="single" w:color="auto" w:sz="4" w:space="0"/>
              <w:right w:val="single" w:color="auto" w:sz="4" w:space="0"/>
            </w:tcBorders>
            <w:vAlign w:val="center"/>
          </w:tcPr>
          <w:p>
            <w:pPr>
              <w:spacing w:line="240" w:lineRule="exact"/>
              <w:ind w:left="-1" w:leftChars="-1" w:right="-113" w:rightChars="-47" w:hanging="1"/>
              <w:jc w:val="center"/>
              <w:rPr>
                <w:rFonts w:ascii="宋体" w:hAnsi="宋体"/>
                <w:color w:val="auto"/>
                <w:sz w:val="18"/>
                <w:szCs w:val="18"/>
                <w:highlight w:val="none"/>
              </w:rPr>
            </w:pPr>
            <w:r>
              <w:rPr>
                <w:rFonts w:hint="eastAsia" w:ascii="宋体" w:hAnsi="宋体"/>
                <w:color w:val="auto"/>
                <w:sz w:val="18"/>
                <w:szCs w:val="18"/>
                <w:highlight w:val="none"/>
              </w:rPr>
              <w:t>材料</w:t>
            </w:r>
          </w:p>
          <w:p>
            <w:pPr>
              <w:spacing w:line="240" w:lineRule="exact"/>
              <w:ind w:left="-1" w:leftChars="-1" w:right="-113" w:rightChars="-47" w:hanging="1"/>
              <w:jc w:val="center"/>
              <w:rPr>
                <w:rFonts w:ascii="宋体" w:hAnsi="宋体"/>
                <w:color w:val="auto"/>
                <w:sz w:val="18"/>
                <w:szCs w:val="18"/>
                <w:highlight w:val="none"/>
              </w:rPr>
            </w:pPr>
            <w:r>
              <w:rPr>
                <w:rFonts w:hint="eastAsia" w:ascii="宋体" w:hAnsi="宋体"/>
                <w:color w:val="auto"/>
                <w:sz w:val="18"/>
                <w:szCs w:val="18"/>
                <w:highlight w:val="none"/>
              </w:rPr>
              <w:t>(设备)费</w:t>
            </w:r>
          </w:p>
        </w:tc>
        <w:tc>
          <w:tcPr>
            <w:tcW w:w="587" w:type="dxa"/>
            <w:tcBorders>
              <w:top w:val="single" w:color="auto" w:sz="4" w:space="0"/>
              <w:left w:val="nil"/>
              <w:bottom w:val="single" w:color="auto" w:sz="4" w:space="0"/>
              <w:right w:val="single" w:color="auto" w:sz="4" w:space="0"/>
            </w:tcBorders>
            <w:vAlign w:val="center"/>
          </w:tcPr>
          <w:p>
            <w:pPr>
              <w:spacing w:line="240" w:lineRule="exact"/>
              <w:ind w:left="-1" w:leftChars="-1" w:right="-113" w:rightChars="-47" w:hanging="1"/>
              <w:jc w:val="center"/>
              <w:rPr>
                <w:rFonts w:ascii="宋体" w:hAnsi="宋体"/>
                <w:color w:val="auto"/>
                <w:sz w:val="18"/>
                <w:szCs w:val="18"/>
                <w:highlight w:val="none"/>
              </w:rPr>
            </w:pPr>
            <w:r>
              <w:rPr>
                <w:rFonts w:hint="eastAsia" w:ascii="宋体" w:hAnsi="宋体"/>
                <w:color w:val="auto"/>
                <w:sz w:val="18"/>
                <w:szCs w:val="18"/>
                <w:highlight w:val="none"/>
              </w:rPr>
              <w:t>机械费</w:t>
            </w:r>
          </w:p>
        </w:tc>
        <w:tc>
          <w:tcPr>
            <w:tcW w:w="658" w:type="dxa"/>
            <w:tcBorders>
              <w:top w:val="single" w:color="auto" w:sz="4" w:space="0"/>
              <w:left w:val="nil"/>
              <w:bottom w:val="single" w:color="auto" w:sz="4" w:space="0"/>
              <w:right w:val="single" w:color="auto" w:sz="4" w:space="0"/>
            </w:tcBorders>
            <w:vAlign w:val="center"/>
          </w:tcPr>
          <w:p>
            <w:pPr>
              <w:spacing w:line="240" w:lineRule="exact"/>
              <w:ind w:left="-1" w:leftChars="-1" w:right="-113" w:rightChars="-47" w:hanging="1"/>
              <w:jc w:val="center"/>
              <w:rPr>
                <w:rFonts w:ascii="宋体" w:hAnsi="宋体"/>
                <w:color w:val="auto"/>
                <w:sz w:val="18"/>
                <w:szCs w:val="18"/>
                <w:highlight w:val="none"/>
              </w:rPr>
            </w:pPr>
            <w:r>
              <w:rPr>
                <w:rFonts w:hint="eastAsia" w:ascii="宋体" w:hAnsi="宋体"/>
                <w:color w:val="auto"/>
                <w:sz w:val="18"/>
                <w:szCs w:val="18"/>
                <w:highlight w:val="none"/>
              </w:rPr>
              <w:t>管理</w:t>
            </w:r>
          </w:p>
          <w:p>
            <w:pPr>
              <w:spacing w:line="240" w:lineRule="exact"/>
              <w:ind w:left="-1" w:leftChars="-1" w:right="-113" w:rightChars="-47" w:hanging="1"/>
              <w:jc w:val="center"/>
              <w:rPr>
                <w:rFonts w:ascii="宋体" w:hAnsi="宋体"/>
                <w:color w:val="auto"/>
                <w:sz w:val="18"/>
                <w:szCs w:val="18"/>
                <w:highlight w:val="none"/>
              </w:rPr>
            </w:pPr>
            <w:r>
              <w:rPr>
                <w:rFonts w:hint="eastAsia" w:ascii="宋体" w:hAnsi="宋体"/>
                <w:color w:val="auto"/>
                <w:sz w:val="18"/>
                <w:szCs w:val="18"/>
                <w:highlight w:val="none"/>
              </w:rPr>
              <w:t>费</w:t>
            </w:r>
          </w:p>
        </w:tc>
        <w:tc>
          <w:tcPr>
            <w:tcW w:w="644" w:type="dxa"/>
            <w:tcBorders>
              <w:top w:val="single" w:color="auto" w:sz="4" w:space="0"/>
              <w:left w:val="nil"/>
              <w:bottom w:val="single" w:color="auto" w:sz="4" w:space="0"/>
              <w:right w:val="single" w:color="auto" w:sz="4" w:space="0"/>
            </w:tcBorders>
            <w:vAlign w:val="center"/>
          </w:tcPr>
          <w:p>
            <w:pPr>
              <w:spacing w:line="240" w:lineRule="exact"/>
              <w:ind w:left="-1" w:leftChars="-1" w:right="-113" w:rightChars="-47" w:hanging="1"/>
              <w:jc w:val="center"/>
              <w:rPr>
                <w:rFonts w:ascii="宋体" w:hAnsi="宋体"/>
                <w:color w:val="auto"/>
                <w:sz w:val="18"/>
                <w:szCs w:val="18"/>
                <w:highlight w:val="none"/>
              </w:rPr>
            </w:pPr>
            <w:r>
              <w:rPr>
                <w:rFonts w:hint="eastAsia" w:ascii="宋体" w:hAnsi="宋体"/>
                <w:color w:val="auto"/>
                <w:sz w:val="18"/>
                <w:szCs w:val="18"/>
                <w:highlight w:val="none"/>
              </w:rPr>
              <w:t>利润</w:t>
            </w:r>
          </w:p>
        </w:tc>
        <w:tc>
          <w:tcPr>
            <w:tcW w:w="60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784"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1</w:t>
            </w:r>
          </w:p>
        </w:tc>
        <w:tc>
          <w:tcPr>
            <w:tcW w:w="1443"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（清单编码）</w:t>
            </w:r>
          </w:p>
        </w:tc>
        <w:tc>
          <w:tcPr>
            <w:tcW w:w="1351"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（清单名称）</w:t>
            </w:r>
          </w:p>
        </w:tc>
        <w:tc>
          <w:tcPr>
            <w:tcW w:w="555"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652"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574"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28"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587"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658"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644"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60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8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443"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（定额编号）</w:t>
            </w:r>
          </w:p>
        </w:tc>
        <w:tc>
          <w:tcPr>
            <w:tcW w:w="1351"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（定额名称）</w:t>
            </w:r>
          </w:p>
        </w:tc>
        <w:tc>
          <w:tcPr>
            <w:tcW w:w="555"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2"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7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2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87"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4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0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8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443"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351"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55"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2"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7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2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87"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4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0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8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443"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351"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555"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2"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7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2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87"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4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0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8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443"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351"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55"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2"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7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2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87"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58"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4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60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8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21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784"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bl>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注：</w:t>
      </w:r>
    </w:p>
    <w:p>
      <w:pPr>
        <w:spacing w:line="240" w:lineRule="exact"/>
        <w:ind w:left="-14" w:leftChars="-6" w:right="-113" w:rightChars="-47" w:firstLine="540" w:firstLineChars="300"/>
        <w:rPr>
          <w:rFonts w:ascii="宋体" w:hAnsi="宋体"/>
          <w:color w:val="auto"/>
          <w:sz w:val="18"/>
          <w:szCs w:val="18"/>
          <w:highlight w:val="none"/>
        </w:rPr>
      </w:pPr>
      <w:r>
        <w:rPr>
          <w:rFonts w:hint="eastAsia" w:ascii="宋体" w:hAnsi="宋体"/>
          <w:color w:val="auto"/>
          <w:sz w:val="18"/>
          <w:szCs w:val="18"/>
          <w:highlight w:val="none"/>
        </w:rPr>
        <w:t>本表中涉及的计费标准请填入以下公式括号内：</w:t>
      </w:r>
    </w:p>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 xml:space="preserve">       管理费=（计算基数名称）×（费率）、利润=（计算基数名称）×（费率）</w:t>
      </w:r>
    </w:p>
    <w:p>
      <w:pPr>
        <w:rPr>
          <w:color w:val="auto"/>
          <w:highlight w:val="none"/>
        </w:rPr>
      </w:pPr>
    </w:p>
    <w:p>
      <w:pPr>
        <w:jc w:val="center"/>
        <w:rPr>
          <w:rFonts w:ascii="宋体" w:hAnsi="宋体"/>
          <w:b/>
          <w:bCs/>
          <w:color w:val="auto"/>
          <w:highlight w:val="none"/>
        </w:rPr>
      </w:pPr>
      <w:r>
        <w:rPr>
          <w:rFonts w:hint="eastAsia" w:ascii="宋体" w:hAnsi="宋体"/>
          <w:b/>
          <w:bCs/>
          <w:color w:val="auto"/>
          <w:highlight w:val="none"/>
        </w:rPr>
        <w:t>综合单价工料机分析表</w:t>
      </w:r>
    </w:p>
    <w:p>
      <w:pPr>
        <w:pStyle w:val="17"/>
        <w:rPr>
          <w:color w:val="auto"/>
          <w:highlight w:val="none"/>
        </w:rPr>
      </w:pPr>
    </w:p>
    <w:p>
      <w:pPr>
        <w:spacing w:line="240" w:lineRule="exact"/>
        <w:ind w:leftChars="-38" w:right="-113" w:rightChars="-47" w:hanging="91" w:hangingChars="38"/>
        <w:rPr>
          <w:rFonts w:ascii="宋体" w:hAnsi="宋体"/>
          <w:color w:val="auto"/>
          <w:sz w:val="18"/>
          <w:szCs w:val="18"/>
          <w:highlight w:val="none"/>
        </w:rPr>
      </w:pPr>
      <w:r>
        <w:rPr>
          <w:rFonts w:hint="eastAsia" w:ascii="宋体" w:hAnsi="宋体"/>
          <w:color w:val="auto"/>
          <w:highlight w:val="none"/>
        </w:rPr>
        <w:t>单位（专业）工程名称：              标段：                第  页 共 页</w:t>
      </w:r>
    </w:p>
    <w:tbl>
      <w:tblPr>
        <w:tblStyle w:val="18"/>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85"/>
        <w:gridCol w:w="161"/>
        <w:gridCol w:w="1301"/>
        <w:gridCol w:w="540"/>
        <w:gridCol w:w="91"/>
        <w:gridCol w:w="700"/>
        <w:gridCol w:w="248"/>
        <w:gridCol w:w="709"/>
        <w:gridCol w:w="1440"/>
        <w:gridCol w:w="731"/>
        <w:gridCol w:w="558"/>
        <w:gridCol w:w="52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项目编码</w:t>
            </w:r>
          </w:p>
        </w:tc>
        <w:tc>
          <w:tcPr>
            <w:tcW w:w="1932" w:type="dxa"/>
            <w:gridSpan w:val="3"/>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948"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项目名称</w:t>
            </w:r>
          </w:p>
        </w:tc>
        <w:tc>
          <w:tcPr>
            <w:tcW w:w="2880" w:type="dxa"/>
            <w:gridSpan w:val="3"/>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080"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计量单位</w:t>
            </w:r>
          </w:p>
        </w:tc>
        <w:tc>
          <w:tcPr>
            <w:tcW w:w="99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002"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清单综合单价组成明细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2047" w:type="dxa"/>
            <w:gridSpan w:val="3"/>
            <w:vMerge w:val="restart"/>
            <w:tcBorders>
              <w:top w:val="single" w:color="auto" w:sz="4" w:space="0"/>
              <w:left w:val="nil"/>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名称及规格、型号</w:t>
            </w:r>
          </w:p>
        </w:tc>
        <w:tc>
          <w:tcPr>
            <w:tcW w:w="540" w:type="dxa"/>
            <w:vMerge w:val="restart"/>
            <w:tcBorders>
              <w:top w:val="single" w:color="auto" w:sz="4" w:space="0"/>
              <w:left w:val="nil"/>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791" w:type="dxa"/>
            <w:gridSpan w:val="2"/>
            <w:vMerge w:val="restart"/>
            <w:tcBorders>
              <w:top w:val="single" w:color="auto" w:sz="4" w:space="0"/>
              <w:left w:val="nil"/>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957" w:type="dxa"/>
            <w:gridSpan w:val="2"/>
            <w:vMerge w:val="restart"/>
            <w:tcBorders>
              <w:top w:val="single" w:color="auto" w:sz="4" w:space="0"/>
              <w:left w:val="nil"/>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单价</w:t>
            </w:r>
          </w:p>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（元）</w:t>
            </w:r>
          </w:p>
        </w:tc>
        <w:tc>
          <w:tcPr>
            <w:tcW w:w="1440" w:type="dxa"/>
            <w:tcBorders>
              <w:top w:val="single" w:color="auto" w:sz="4" w:space="0"/>
              <w:left w:val="nil"/>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其中</w:t>
            </w:r>
          </w:p>
        </w:tc>
        <w:tc>
          <w:tcPr>
            <w:tcW w:w="1289" w:type="dxa"/>
            <w:gridSpan w:val="2"/>
            <w:vMerge w:val="restart"/>
            <w:tcBorders>
              <w:top w:val="single" w:color="auto" w:sz="4" w:space="0"/>
              <w:left w:val="nil"/>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合价（元）</w:t>
            </w:r>
          </w:p>
        </w:tc>
        <w:tc>
          <w:tcPr>
            <w:tcW w:w="1512" w:type="dxa"/>
            <w:gridSpan w:val="2"/>
            <w:tcBorders>
              <w:top w:val="single" w:color="auto" w:sz="4" w:space="0"/>
              <w:left w:val="nil"/>
              <w:bottom w:val="single" w:color="auto" w:sz="4" w:space="0"/>
              <w:right w:val="single" w:color="auto" w:sz="4" w:space="0"/>
            </w:tcBorders>
            <w:vAlign w:val="center"/>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2047" w:type="dxa"/>
            <w:gridSpan w:val="3"/>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4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791" w:type="dxa"/>
            <w:gridSpan w:val="2"/>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957" w:type="dxa"/>
            <w:gridSpan w:val="2"/>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暂估单价(元)</w:t>
            </w:r>
          </w:p>
        </w:tc>
        <w:tc>
          <w:tcPr>
            <w:tcW w:w="1289" w:type="dxa"/>
            <w:gridSpan w:val="2"/>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8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暂估合价（元）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1</w:t>
            </w:r>
          </w:p>
        </w:tc>
        <w:tc>
          <w:tcPr>
            <w:tcW w:w="585"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人</w:t>
            </w:r>
          </w:p>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工</w:t>
            </w: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一类人工</w:t>
            </w: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85"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二类人工</w:t>
            </w: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85"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三类人工</w:t>
            </w: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775" w:type="dxa"/>
            <w:gridSpan w:val="9"/>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人工费小计</w:t>
            </w: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2</w:t>
            </w:r>
          </w:p>
        </w:tc>
        <w:tc>
          <w:tcPr>
            <w:tcW w:w="585" w:type="dxa"/>
            <w:vMerge w:val="restart"/>
            <w:tcBorders>
              <w:top w:val="nil"/>
              <w:left w:val="nil"/>
              <w:bottom w:val="single" w:color="auto" w:sz="4" w:space="0"/>
              <w:right w:val="single" w:color="auto" w:sz="4" w:space="0"/>
            </w:tcBorders>
            <w:vAlign w:val="center"/>
          </w:tcPr>
          <w:p>
            <w:pPr>
              <w:spacing w:line="240" w:lineRule="exact"/>
              <w:ind w:left="-86" w:leftChars="-38" w:right="-113" w:rightChars="-47" w:hanging="5" w:hangingChars="3"/>
              <w:jc w:val="center"/>
              <w:rPr>
                <w:rFonts w:ascii="宋体" w:hAnsi="宋体"/>
                <w:color w:val="auto"/>
                <w:sz w:val="18"/>
                <w:szCs w:val="18"/>
                <w:highlight w:val="none"/>
              </w:rPr>
            </w:pPr>
            <w:r>
              <w:rPr>
                <w:rFonts w:hint="eastAsia" w:ascii="宋体" w:hAnsi="宋体"/>
                <w:color w:val="auto"/>
                <w:sz w:val="18"/>
                <w:szCs w:val="18"/>
                <w:highlight w:val="none"/>
              </w:rPr>
              <w:t>材料</w:t>
            </w:r>
          </w:p>
          <w:p>
            <w:pPr>
              <w:spacing w:line="240" w:lineRule="exact"/>
              <w:ind w:left="-86" w:leftChars="-38" w:right="-113" w:rightChars="-47" w:hanging="5" w:hangingChars="3"/>
              <w:jc w:val="center"/>
              <w:rPr>
                <w:rFonts w:ascii="宋体" w:hAnsi="宋体"/>
                <w:color w:val="auto"/>
                <w:sz w:val="18"/>
                <w:szCs w:val="18"/>
                <w:highlight w:val="none"/>
              </w:rPr>
            </w:pPr>
            <w:r>
              <w:rPr>
                <w:rFonts w:hint="eastAsia" w:ascii="宋体" w:hAnsi="宋体"/>
                <w:color w:val="auto"/>
                <w:sz w:val="18"/>
                <w:szCs w:val="18"/>
                <w:highlight w:val="none"/>
              </w:rPr>
              <w:t>(工程设备)</w:t>
            </w: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85"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85"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85"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其他材料费</w:t>
            </w: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775" w:type="dxa"/>
            <w:gridSpan w:val="9"/>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材料（工程设备）费小计</w:t>
            </w: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3</w:t>
            </w:r>
          </w:p>
        </w:tc>
        <w:tc>
          <w:tcPr>
            <w:tcW w:w="585" w:type="dxa"/>
            <w:vMerge w:val="restart"/>
            <w:tcBorders>
              <w:top w:val="nil"/>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机</w:t>
            </w:r>
          </w:p>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械</w:t>
            </w: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tcPr>
          <w:p>
            <w:pPr>
              <w:spacing w:line="240" w:lineRule="exact"/>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289" w:type="dxa"/>
            <w:gridSpan w:val="2"/>
            <w:tcBorders>
              <w:top w:val="single" w:color="auto" w:sz="4" w:space="0"/>
              <w:left w:val="nil"/>
              <w:bottom w:val="single" w:color="auto" w:sz="4" w:space="0"/>
              <w:right w:val="single" w:color="auto" w:sz="4" w:space="0"/>
            </w:tcBorders>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jc w:val="center"/>
              <w:rPr>
                <w:color w:val="auto"/>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85"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4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289"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jc w:val="center"/>
              <w:rPr>
                <w:color w:val="auto"/>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85"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6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54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791"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957"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w:t>
            </w:r>
          </w:p>
        </w:tc>
        <w:tc>
          <w:tcPr>
            <w:tcW w:w="1289"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jc w:val="center"/>
              <w:rPr>
                <w:color w:val="auto"/>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5775" w:type="dxa"/>
            <w:gridSpan w:val="9"/>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机械费小计</w:t>
            </w:r>
          </w:p>
        </w:tc>
        <w:tc>
          <w:tcPr>
            <w:tcW w:w="1289"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4</w:t>
            </w:r>
          </w:p>
        </w:tc>
        <w:tc>
          <w:tcPr>
            <w:tcW w:w="5775" w:type="dxa"/>
            <w:gridSpan w:val="9"/>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工料机费用合计（1+2+3）</w:t>
            </w:r>
          </w:p>
        </w:tc>
        <w:tc>
          <w:tcPr>
            <w:tcW w:w="1289"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5</w:t>
            </w:r>
          </w:p>
        </w:tc>
        <w:tc>
          <w:tcPr>
            <w:tcW w:w="5775" w:type="dxa"/>
            <w:gridSpan w:val="9"/>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管理费（计费基数×费率）</w:t>
            </w:r>
          </w:p>
        </w:tc>
        <w:tc>
          <w:tcPr>
            <w:tcW w:w="1289"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jc w:val="center"/>
              <w:rPr>
                <w:color w:val="auto"/>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6</w:t>
            </w:r>
          </w:p>
        </w:tc>
        <w:tc>
          <w:tcPr>
            <w:tcW w:w="5775" w:type="dxa"/>
            <w:gridSpan w:val="9"/>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利润（计费基数×费率）</w:t>
            </w:r>
          </w:p>
        </w:tc>
        <w:tc>
          <w:tcPr>
            <w:tcW w:w="1289"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jc w:val="center"/>
              <w:rPr>
                <w:color w:val="auto"/>
                <w:highlight w:val="none"/>
              </w:rPr>
            </w:pP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r>
              <w:rPr>
                <w:rFonts w:hint="eastAsia" w:ascii="宋体" w:hAnsi="宋体"/>
                <w:color w:val="auto"/>
                <w:sz w:val="18"/>
                <w:szCs w:val="18"/>
                <w:highlight w:val="none"/>
              </w:rPr>
              <w:t>7</w:t>
            </w:r>
          </w:p>
        </w:tc>
        <w:tc>
          <w:tcPr>
            <w:tcW w:w="5775" w:type="dxa"/>
            <w:gridSpan w:val="9"/>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rPr>
                <w:rFonts w:ascii="宋体" w:hAnsi="宋体"/>
                <w:color w:val="auto"/>
                <w:sz w:val="18"/>
                <w:szCs w:val="18"/>
                <w:highlight w:val="none"/>
              </w:rPr>
            </w:pPr>
            <w:r>
              <w:rPr>
                <w:rFonts w:hint="eastAsia" w:ascii="宋体" w:hAnsi="宋体"/>
                <w:color w:val="auto"/>
                <w:sz w:val="18"/>
                <w:szCs w:val="18"/>
                <w:highlight w:val="none"/>
              </w:rPr>
              <w:t>综合单价（4+5+6）</w:t>
            </w:r>
          </w:p>
        </w:tc>
        <w:tc>
          <w:tcPr>
            <w:tcW w:w="1289" w:type="dxa"/>
            <w:gridSpan w:val="2"/>
            <w:tcBorders>
              <w:top w:val="single" w:color="auto" w:sz="4" w:space="0"/>
              <w:left w:val="nil"/>
              <w:bottom w:val="single" w:color="auto" w:sz="4" w:space="0"/>
              <w:right w:val="single" w:color="auto" w:sz="4" w:space="0"/>
            </w:tcBorders>
            <w:vAlign w:val="center"/>
          </w:tcPr>
          <w:p>
            <w:pPr>
              <w:spacing w:line="240" w:lineRule="exact"/>
              <w:ind w:left="-23" w:leftChars="-38" w:right="-113" w:rightChars="-47" w:hanging="68" w:hangingChars="38"/>
              <w:jc w:val="center"/>
              <w:rPr>
                <w:rFonts w:ascii="宋体" w:hAnsi="宋体"/>
                <w:color w:val="auto"/>
                <w:sz w:val="18"/>
                <w:szCs w:val="18"/>
                <w:highlight w:val="none"/>
              </w:rPr>
            </w:pPr>
          </w:p>
        </w:tc>
        <w:tc>
          <w:tcPr>
            <w:tcW w:w="1512" w:type="dxa"/>
            <w:gridSpan w:val="2"/>
            <w:tcBorders>
              <w:top w:val="single" w:color="auto" w:sz="4" w:space="0"/>
              <w:left w:val="nil"/>
              <w:bottom w:val="single" w:color="auto" w:sz="4" w:space="0"/>
              <w:right w:val="single" w:color="auto" w:sz="4" w:space="0"/>
            </w:tcBorders>
          </w:tcPr>
          <w:p>
            <w:pPr>
              <w:jc w:val="center"/>
              <w:rPr>
                <w:color w:val="auto"/>
                <w:highlight w:val="none"/>
              </w:rPr>
            </w:pPr>
            <w:r>
              <w:rPr>
                <w:rFonts w:hint="eastAsia" w:ascii="宋体" w:hAnsi="宋体"/>
                <w:color w:val="auto"/>
                <w:sz w:val="18"/>
                <w:szCs w:val="18"/>
                <w:highlight w:val="none"/>
              </w:rPr>
              <w:t>—</w:t>
            </w:r>
          </w:p>
        </w:tc>
      </w:tr>
    </w:tbl>
    <w:p>
      <w:pPr>
        <w:ind w:firstLine="180" w:firstLineChars="100"/>
        <w:rPr>
          <w:rFonts w:ascii="宋体" w:hAnsi="宋体"/>
          <w:color w:val="auto"/>
          <w:sz w:val="18"/>
          <w:szCs w:val="18"/>
          <w:highlight w:val="none"/>
        </w:rPr>
      </w:pPr>
      <w:r>
        <w:rPr>
          <w:rFonts w:hint="eastAsia" w:ascii="宋体" w:hAnsi="宋体"/>
          <w:color w:val="auto"/>
          <w:sz w:val="18"/>
          <w:szCs w:val="18"/>
          <w:highlight w:val="none"/>
        </w:rPr>
        <w:t>注：</w:t>
      </w:r>
    </w:p>
    <w:p>
      <w:pPr>
        <w:ind w:firstLine="540" w:firstLineChars="300"/>
        <w:rPr>
          <w:rFonts w:ascii="宋体" w:hAnsi="宋体"/>
          <w:color w:val="auto"/>
          <w:sz w:val="18"/>
          <w:szCs w:val="18"/>
          <w:highlight w:val="none"/>
        </w:rPr>
      </w:pPr>
      <w:r>
        <w:rPr>
          <w:rFonts w:hint="eastAsia" w:ascii="宋体" w:hAnsi="宋体"/>
          <w:color w:val="auto"/>
          <w:sz w:val="18"/>
          <w:szCs w:val="18"/>
          <w:highlight w:val="none"/>
        </w:rPr>
        <w:t>1.本表为分部分项及施工技术措施综合单价分析通用表。</w:t>
      </w:r>
    </w:p>
    <w:p>
      <w:pPr>
        <w:rPr>
          <w:rFonts w:ascii="宋体" w:hAnsi="宋体" w:cs="ËÎÌå"/>
          <w:color w:val="auto"/>
          <w:highlight w:val="none"/>
        </w:rPr>
      </w:pPr>
      <w:r>
        <w:rPr>
          <w:rFonts w:hint="eastAsia" w:ascii="宋体" w:hAnsi="宋体"/>
          <w:color w:val="auto"/>
          <w:sz w:val="18"/>
          <w:szCs w:val="18"/>
          <w:highlight w:val="none"/>
        </w:rPr>
        <w:t xml:space="preserve">      2.招标文件提供了暂估单价的材料，按暂估的单价填入表内“暂估单价”栏并计算对应的“暂估合价”。</w:t>
      </w:r>
    </w:p>
    <w:p>
      <w:pPr>
        <w:jc w:val="center"/>
        <w:rPr>
          <w:rFonts w:ascii="宋体" w:hAnsi="宋体"/>
          <w:b/>
          <w:bCs/>
          <w:color w:val="auto"/>
          <w:highlight w:val="none"/>
        </w:rPr>
      </w:pPr>
    </w:p>
    <w:p>
      <w:pPr>
        <w:jc w:val="center"/>
        <w:rPr>
          <w:rFonts w:ascii="宋体" w:hAnsi="宋体"/>
          <w:b/>
          <w:bCs/>
          <w:color w:val="auto"/>
          <w:highlight w:val="none"/>
        </w:rPr>
      </w:pPr>
    </w:p>
    <w:p>
      <w:pPr>
        <w:jc w:val="center"/>
        <w:rPr>
          <w:rFonts w:ascii="宋体" w:hAnsi="宋体"/>
          <w:b/>
          <w:bCs/>
          <w:color w:val="auto"/>
          <w:highlight w:val="none"/>
        </w:rPr>
      </w:pPr>
      <w:r>
        <w:rPr>
          <w:rFonts w:hint="eastAsia" w:ascii="宋体" w:hAnsi="宋体"/>
          <w:b/>
          <w:bCs/>
          <w:color w:val="auto"/>
          <w:highlight w:val="none"/>
        </w:rPr>
        <w:t>施工组织措施项目清单与计价表</w:t>
      </w:r>
    </w:p>
    <w:p>
      <w:pPr>
        <w:pStyle w:val="17"/>
        <w:spacing w:after="0" w:line="257" w:lineRule="auto"/>
        <w:rPr>
          <w:b w:val="0"/>
          <w:bCs/>
          <w:color w:val="auto"/>
          <w:highlight w:val="none"/>
        </w:rPr>
      </w:pPr>
      <w:r>
        <w:rPr>
          <w:rFonts w:hint="eastAsia"/>
          <w:b w:val="0"/>
          <w:bCs/>
          <w:color w:val="auto"/>
          <w:highlight w:val="none"/>
        </w:rPr>
        <w:t>工程名称：                  标段：                     第  页 共  页</w:t>
      </w:r>
    </w:p>
    <w:tbl>
      <w:tblPr>
        <w:tblStyle w:val="1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004"/>
        <w:gridCol w:w="2160"/>
        <w:gridCol w:w="994"/>
        <w:gridCol w:w="666"/>
        <w:gridCol w:w="1040"/>
        <w:gridCol w:w="72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项目编号</w:t>
            </w: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项目名称</w:t>
            </w:r>
          </w:p>
        </w:tc>
        <w:tc>
          <w:tcPr>
            <w:tcW w:w="994"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计算基础</w:t>
            </w: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费率</w:t>
            </w:r>
          </w:p>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金额</w:t>
            </w:r>
          </w:p>
          <w:p>
            <w:pPr>
              <w:jc w:val="center"/>
              <w:rPr>
                <w:rFonts w:ascii="宋体" w:hAnsi="宋体"/>
                <w:color w:val="auto"/>
                <w:sz w:val="18"/>
                <w:szCs w:val="18"/>
                <w:highlight w:val="none"/>
              </w:rPr>
            </w:pPr>
            <w:r>
              <w:rPr>
                <w:rFonts w:hint="eastAsia" w:ascii="宋体" w:hAnsi="宋体"/>
                <w:color w:val="auto"/>
                <w:sz w:val="18"/>
                <w:szCs w:val="18"/>
                <w:highlight w:val="none"/>
              </w:rPr>
              <w:t>（元）</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调整</w:t>
            </w:r>
          </w:p>
          <w:p>
            <w:pPr>
              <w:jc w:val="center"/>
              <w:rPr>
                <w:rFonts w:ascii="宋体" w:hAnsi="宋体"/>
                <w:color w:val="auto"/>
                <w:sz w:val="18"/>
                <w:szCs w:val="18"/>
                <w:highlight w:val="none"/>
              </w:rPr>
            </w:pPr>
            <w:r>
              <w:rPr>
                <w:rFonts w:hint="eastAsia" w:ascii="宋体" w:hAnsi="宋体"/>
                <w:color w:val="auto"/>
                <w:sz w:val="18"/>
                <w:szCs w:val="18"/>
                <w:highlight w:val="none"/>
              </w:rPr>
              <w:t>费率</w:t>
            </w:r>
          </w:p>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调整后</w:t>
            </w:r>
          </w:p>
          <w:p>
            <w:pPr>
              <w:jc w:val="center"/>
              <w:rPr>
                <w:rFonts w:ascii="宋体" w:hAnsi="宋体"/>
                <w:color w:val="auto"/>
                <w:sz w:val="18"/>
                <w:szCs w:val="18"/>
                <w:highlight w:val="none"/>
              </w:rPr>
            </w:pPr>
            <w:r>
              <w:rPr>
                <w:rFonts w:hint="eastAsia" w:ascii="宋体" w:hAnsi="宋体"/>
                <w:color w:val="auto"/>
                <w:sz w:val="18"/>
                <w:szCs w:val="18"/>
                <w:highlight w:val="none"/>
              </w:rPr>
              <w:t>金额（元）</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1</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b/>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rPr>
                <w:rFonts w:ascii="宋体" w:hAnsi="宋体"/>
                <w:b/>
                <w:color w:val="auto"/>
                <w:sz w:val="18"/>
                <w:szCs w:val="18"/>
                <w:highlight w:val="none"/>
              </w:rPr>
            </w:pPr>
            <w:r>
              <w:rPr>
                <w:rFonts w:hint="eastAsia" w:ascii="宋体" w:hAnsi="宋体"/>
                <w:b/>
                <w:color w:val="auto"/>
                <w:sz w:val="18"/>
                <w:szCs w:val="18"/>
                <w:highlight w:val="none"/>
              </w:rPr>
              <w:t>安全文明施工费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b/>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b/>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b/>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b/>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安全文明施工基本费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1.2</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标化工地增加费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提前竣工增加费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二次搬运费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4</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冬雨季施工增加费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行车、行人干扰增加费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6</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其他施工组织措施费</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6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4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10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360" w:firstLineChars="200"/>
        <w:rPr>
          <w:rFonts w:ascii="宋体" w:hAnsi="宋体"/>
          <w:color w:val="auto"/>
          <w:sz w:val="18"/>
          <w:szCs w:val="18"/>
          <w:highlight w:val="none"/>
        </w:rPr>
      </w:pP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注：1.第1.2项工程招投标阶段在其他项目暂列金内计列，竣工结算时按合同约定计算。</w:t>
      </w:r>
    </w:p>
    <w:p>
      <w:pPr>
        <w:ind w:left="1186" w:leftChars="344" w:hanging="360" w:hangingChars="200"/>
        <w:rPr>
          <w:rFonts w:ascii="宋体" w:hAnsi="宋体"/>
          <w:color w:val="auto"/>
          <w:sz w:val="18"/>
          <w:szCs w:val="18"/>
          <w:highlight w:val="none"/>
        </w:rPr>
      </w:pPr>
      <w:r>
        <w:rPr>
          <w:rFonts w:hint="eastAsia" w:ascii="宋体" w:hAnsi="宋体"/>
          <w:color w:val="auto"/>
          <w:sz w:val="18"/>
          <w:szCs w:val="18"/>
          <w:highlight w:val="none"/>
        </w:rPr>
        <w:t>2.“其他施工组织措施费”在计价时须列出具体费用名称。</w:t>
      </w:r>
    </w:p>
    <w:p>
      <w:pPr>
        <w:ind w:left="1186" w:leftChars="344" w:hanging="360" w:hangingChars="200"/>
        <w:rPr>
          <w:rFonts w:ascii="宋体" w:hAnsi="宋体"/>
          <w:color w:val="auto"/>
          <w:sz w:val="18"/>
          <w:szCs w:val="18"/>
          <w:highlight w:val="none"/>
        </w:rPr>
      </w:pPr>
      <w:r>
        <w:rPr>
          <w:rFonts w:hint="eastAsia" w:ascii="宋体" w:hAnsi="宋体"/>
          <w:color w:val="auto"/>
          <w:sz w:val="18"/>
          <w:szCs w:val="18"/>
          <w:highlight w:val="none"/>
        </w:rPr>
        <w:t>3.工程结算时按合同约定调整费率和金额。</w:t>
      </w:r>
    </w:p>
    <w:p>
      <w:pPr>
        <w:jc w:val="right"/>
        <w:rPr>
          <w:rFonts w:ascii="宋体" w:hAnsi="宋体" w:cs="ËÎÌå"/>
          <w:color w:val="auto"/>
          <w:sz w:val="21"/>
          <w:szCs w:val="21"/>
          <w:highlight w:val="none"/>
        </w:rPr>
      </w:pPr>
    </w:p>
    <w:p>
      <w:pPr>
        <w:widowControl/>
        <w:autoSpaceDN/>
        <w:jc w:val="center"/>
        <w:rPr>
          <w:rFonts w:ascii="宋体" w:hAnsi="宋体"/>
          <w:b/>
          <w:bCs/>
          <w:color w:val="auto"/>
          <w:highlight w:val="none"/>
        </w:rPr>
      </w:pPr>
      <w:r>
        <w:rPr>
          <w:rFonts w:hint="eastAsia" w:ascii="宋体" w:hAnsi="宋体"/>
          <w:b/>
          <w:bCs/>
          <w:color w:val="auto"/>
          <w:highlight w:val="none"/>
        </w:rPr>
        <w:t>其他项目清单与计价汇总表</w:t>
      </w:r>
    </w:p>
    <w:p>
      <w:pPr>
        <w:pStyle w:val="17"/>
        <w:spacing w:after="0" w:line="257" w:lineRule="auto"/>
        <w:rPr>
          <w:b w:val="0"/>
          <w:bCs/>
          <w:color w:val="auto"/>
          <w:sz w:val="21"/>
          <w:szCs w:val="21"/>
          <w:highlight w:val="none"/>
        </w:rPr>
      </w:pPr>
      <w:r>
        <w:rPr>
          <w:rFonts w:hint="eastAsia"/>
          <w:b w:val="0"/>
          <w:bCs/>
          <w:color w:val="auto"/>
          <w:highlight w:val="none"/>
        </w:rPr>
        <w:t>工程名称：                      标段：                     第  页 共  页</w:t>
      </w:r>
    </w:p>
    <w:tbl>
      <w:tblPr>
        <w:tblStyle w:val="18"/>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304"/>
        <w:gridCol w:w="1244"/>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序号</w:t>
            </w:r>
          </w:p>
        </w:tc>
        <w:tc>
          <w:tcPr>
            <w:tcW w:w="330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项目名称</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金额（元）</w:t>
            </w: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结算金额（元）</w:t>
            </w: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
                <w:highlight w:val="none"/>
              </w:rPr>
            </w:pPr>
            <w:r>
              <w:rPr>
                <w:rFonts w:hint="eastAsia" w:ascii="宋体" w:hAnsi="宋体"/>
                <w:color w:val="auto"/>
                <w:highlight w:val="none"/>
              </w:rPr>
              <w:t>1</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暂列金额</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vMerge w:val="restart"/>
            <w:tcBorders>
              <w:top w:val="nil"/>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
                <w:highlight w:val="none"/>
              </w:rPr>
            </w:pPr>
            <w:r>
              <w:rPr>
                <w:rFonts w:hint="eastAsia" w:ascii="宋体" w:hAnsi="宋体"/>
                <w:color w:val="auto"/>
                <w:highlight w:val="none"/>
              </w:rPr>
              <w:t>1.1</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标化工地增加费</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w:t>
            </w:r>
          </w:p>
        </w:tc>
        <w:tc>
          <w:tcPr>
            <w:tcW w:w="2160"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
                <w:highlight w:val="none"/>
              </w:rPr>
            </w:pPr>
            <w:r>
              <w:rPr>
                <w:rFonts w:hint="eastAsia" w:ascii="宋体" w:hAnsi="宋体"/>
                <w:color w:val="auto"/>
                <w:highlight w:val="none"/>
              </w:rPr>
              <w:t>1.2</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优质工程增加费</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w:t>
            </w:r>
          </w:p>
        </w:tc>
        <w:tc>
          <w:tcPr>
            <w:tcW w:w="2160"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
                <w:highlight w:val="none"/>
              </w:rPr>
            </w:pPr>
            <w:r>
              <w:rPr>
                <w:rFonts w:hint="eastAsia" w:ascii="宋体" w:hAnsi="宋体"/>
                <w:color w:val="auto"/>
                <w:highlight w:val="none"/>
              </w:rPr>
              <w:t>1.3</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其他暂列金额</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vMerge w:val="continue"/>
            <w:tcBorders>
              <w:top w:val="nil"/>
              <w:left w:val="nil"/>
              <w:bottom w:val="single" w:color="auto" w:sz="4" w:space="0"/>
              <w:right w:val="single" w:color="auto" w:sz="4" w:space="0"/>
            </w:tcBorders>
            <w:vAlign w:val="center"/>
          </w:tcPr>
          <w:p>
            <w:pPr>
              <w:widowControl/>
              <w:autoSpaceDE/>
              <w:autoSpaceDN/>
              <w:adjustRightInd/>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2</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暂估价</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2.1</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材料（设备）暂估价</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2.2</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专业工程暂估价</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
                <w:highlight w:val="none"/>
              </w:rPr>
            </w:pPr>
            <w:r>
              <w:rPr>
                <w:rFonts w:hint="eastAsia" w:ascii="宋体" w:hAnsi="宋体"/>
                <w:color w:val="auto"/>
                <w:highlight w:val="none"/>
              </w:rPr>
              <w:t>2.3</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专项技术措施暂估价</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w:t>
            </w: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3</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计日工</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4</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总承包服务费</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5</w:t>
            </w: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（索赔与现场签证）</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w:t>
            </w: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3304"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9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合计</w:t>
            </w:r>
          </w:p>
        </w:tc>
        <w:tc>
          <w:tcPr>
            <w:tcW w:w="1244"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2160"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w:t>
            </w:r>
          </w:p>
        </w:tc>
      </w:tr>
    </w:tbl>
    <w:p>
      <w:pPr>
        <w:ind w:firstLine="180" w:firstLineChars="100"/>
        <w:rPr>
          <w:rFonts w:ascii="宋体" w:hAnsi="宋体"/>
          <w:color w:val="auto"/>
          <w:sz w:val="18"/>
          <w:szCs w:val="18"/>
          <w:highlight w:val="none"/>
        </w:rPr>
      </w:pPr>
    </w:p>
    <w:p>
      <w:pPr>
        <w:ind w:firstLine="180" w:firstLineChars="100"/>
        <w:rPr>
          <w:rFonts w:ascii="宋体" w:hAnsi="宋体" w:cs="ËÎÌå"/>
          <w:color w:val="auto"/>
          <w:sz w:val="18"/>
          <w:szCs w:val="18"/>
          <w:highlight w:val="none"/>
        </w:rPr>
      </w:pPr>
      <w:r>
        <w:rPr>
          <w:rFonts w:hint="eastAsia" w:ascii="宋体" w:hAnsi="宋体"/>
          <w:color w:val="auto"/>
          <w:sz w:val="18"/>
          <w:szCs w:val="18"/>
          <w:highlight w:val="none"/>
        </w:rPr>
        <w:t>注：</w:t>
      </w:r>
      <w:r>
        <w:rPr>
          <w:rFonts w:hint="eastAsia" w:ascii="宋体" w:hAnsi="宋体" w:cs="ËÎÌå"/>
          <w:color w:val="auto"/>
          <w:sz w:val="18"/>
          <w:szCs w:val="18"/>
          <w:highlight w:val="none"/>
        </w:rPr>
        <w:t>1.工程结算时第1.1项、第1.2项分别在施工组织措施项目和其他项目计价表内计列。</w:t>
      </w:r>
    </w:p>
    <w:p>
      <w:pPr>
        <w:ind w:firstLine="540" w:firstLineChars="300"/>
        <w:rPr>
          <w:rFonts w:ascii="宋体" w:hAnsi="宋体" w:cs="ËÎÌå"/>
          <w:color w:val="auto"/>
          <w:sz w:val="18"/>
          <w:szCs w:val="18"/>
          <w:highlight w:val="none"/>
        </w:rPr>
      </w:pPr>
      <w:r>
        <w:rPr>
          <w:rFonts w:hint="eastAsia" w:ascii="宋体" w:hAnsi="宋体" w:cs="ËÎÌå"/>
          <w:color w:val="auto"/>
          <w:sz w:val="18"/>
          <w:szCs w:val="18"/>
          <w:highlight w:val="none"/>
        </w:rPr>
        <w:t>2.工程结算时第2.3项在施工技术措施项目计价表内计列。</w:t>
      </w:r>
    </w:p>
    <w:p>
      <w:pPr>
        <w:ind w:firstLine="540" w:firstLineChars="300"/>
        <w:rPr>
          <w:rFonts w:ascii="宋体" w:hAnsi="宋体"/>
          <w:color w:val="auto"/>
          <w:sz w:val="18"/>
          <w:szCs w:val="18"/>
          <w:highlight w:val="none"/>
        </w:rPr>
      </w:pPr>
      <w:r>
        <w:rPr>
          <w:rFonts w:hint="eastAsia" w:ascii="宋体" w:hAnsi="宋体" w:cs="ËÎÌå"/>
          <w:color w:val="auto"/>
          <w:sz w:val="18"/>
          <w:szCs w:val="18"/>
          <w:highlight w:val="none"/>
        </w:rPr>
        <w:t>3.</w:t>
      </w:r>
      <w:r>
        <w:rPr>
          <w:rFonts w:hint="eastAsia" w:ascii="宋体" w:hAnsi="宋体"/>
          <w:color w:val="auto"/>
          <w:sz w:val="18"/>
          <w:szCs w:val="18"/>
          <w:highlight w:val="none"/>
        </w:rPr>
        <w:t>材料（设备）暂估单价进入清单项目综合单价。</w:t>
      </w:r>
    </w:p>
    <w:p>
      <w:pPr>
        <w:ind w:firstLine="540" w:firstLineChars="300"/>
        <w:rPr>
          <w:rFonts w:ascii="宋体" w:hAnsi="宋体"/>
          <w:color w:val="auto"/>
          <w:sz w:val="18"/>
          <w:szCs w:val="18"/>
          <w:highlight w:val="none"/>
        </w:rPr>
      </w:pPr>
      <w:r>
        <w:rPr>
          <w:rFonts w:hint="eastAsia" w:ascii="宋体" w:hAnsi="宋体"/>
          <w:color w:val="auto"/>
          <w:sz w:val="18"/>
          <w:szCs w:val="18"/>
          <w:highlight w:val="none"/>
        </w:rPr>
        <w:t>4.索赔与现场签证在工程结算期计列。</w:t>
      </w:r>
    </w:p>
    <w:p>
      <w:pPr>
        <w:ind w:firstLine="420" w:firstLineChars="200"/>
        <w:jc w:val="right"/>
        <w:rPr>
          <w:rFonts w:ascii="宋体" w:hAnsi="宋体" w:cs="ËÎÌå"/>
          <w:color w:val="auto"/>
          <w:sz w:val="21"/>
          <w:szCs w:val="21"/>
          <w:highlight w:val="none"/>
        </w:rPr>
      </w:pPr>
    </w:p>
    <w:p>
      <w:pPr>
        <w:jc w:val="center"/>
        <w:rPr>
          <w:rFonts w:ascii="宋体" w:hAnsi="宋体"/>
          <w:b/>
          <w:bCs/>
          <w:color w:val="auto"/>
          <w:highlight w:val="none"/>
        </w:rPr>
      </w:pPr>
      <w:r>
        <w:rPr>
          <w:rFonts w:hint="eastAsia" w:ascii="宋体" w:hAnsi="宋体"/>
          <w:b/>
          <w:bCs/>
          <w:color w:val="auto"/>
          <w:highlight w:val="none"/>
        </w:rPr>
        <w:t>暂列金额明细表</w:t>
      </w:r>
    </w:p>
    <w:p>
      <w:pPr>
        <w:pStyle w:val="17"/>
        <w:rPr>
          <w:color w:val="auto"/>
          <w:highlight w:val="none"/>
        </w:rPr>
      </w:pPr>
    </w:p>
    <w:p>
      <w:pPr>
        <w:ind w:firstLine="480" w:firstLineChars="200"/>
        <w:rPr>
          <w:rFonts w:ascii="宋体" w:hAnsi="宋体"/>
          <w:color w:val="auto"/>
          <w:sz w:val="21"/>
          <w:szCs w:val="21"/>
          <w:highlight w:val="none"/>
        </w:rPr>
      </w:pPr>
      <w:r>
        <w:rPr>
          <w:rFonts w:hint="eastAsia" w:ascii="宋体" w:hAnsi="宋体"/>
          <w:color w:val="auto"/>
          <w:highlight w:val="none"/>
        </w:rPr>
        <w:t>工程名称：                       标段：                第  页 共  页</w:t>
      </w:r>
    </w:p>
    <w:tbl>
      <w:tblPr>
        <w:tblStyle w:val="18"/>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420"/>
        <w:gridCol w:w="144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34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项目名称</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计量单位</w:t>
            </w: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暂定金额（元）</w:t>
            </w: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c>
          <w:tcPr>
            <w:tcW w:w="34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highlight w:val="none"/>
              </w:rPr>
              <w:t>标化工地增加费</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4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highlight w:val="none"/>
              </w:rPr>
              <w:t>优质工程增加费</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w:t>
            </w:r>
          </w:p>
        </w:tc>
        <w:tc>
          <w:tcPr>
            <w:tcW w:w="34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highlight w:val="none"/>
              </w:rPr>
              <w:t>其他暂列金额</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3.1</w:t>
            </w:r>
          </w:p>
        </w:tc>
        <w:tc>
          <w:tcPr>
            <w:tcW w:w="34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3.2</w:t>
            </w:r>
          </w:p>
        </w:tc>
        <w:tc>
          <w:tcPr>
            <w:tcW w:w="34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3.3</w:t>
            </w:r>
          </w:p>
        </w:tc>
        <w:tc>
          <w:tcPr>
            <w:tcW w:w="34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w:t>
            </w:r>
          </w:p>
        </w:tc>
      </w:tr>
    </w:tbl>
    <w:p>
      <w:pPr>
        <w:ind w:firstLine="180" w:firstLineChars="100"/>
        <w:rPr>
          <w:rFonts w:ascii="宋体" w:hAnsi="宋体"/>
          <w:color w:val="auto"/>
          <w:sz w:val="18"/>
          <w:szCs w:val="18"/>
          <w:highlight w:val="none"/>
        </w:rPr>
      </w:pPr>
    </w:p>
    <w:p>
      <w:pPr>
        <w:ind w:firstLine="180" w:firstLineChars="100"/>
        <w:rPr>
          <w:rFonts w:ascii="宋体" w:hAnsi="宋体"/>
          <w:color w:val="auto"/>
          <w:sz w:val="18"/>
          <w:szCs w:val="18"/>
          <w:highlight w:val="none"/>
        </w:rPr>
      </w:pPr>
      <w:r>
        <w:rPr>
          <w:rFonts w:hint="eastAsia" w:ascii="宋体" w:hAnsi="宋体"/>
          <w:color w:val="auto"/>
          <w:sz w:val="18"/>
          <w:szCs w:val="18"/>
          <w:highlight w:val="none"/>
        </w:rPr>
        <w:t>注：</w:t>
      </w:r>
    </w:p>
    <w:p>
      <w:pPr>
        <w:ind w:firstLine="540" w:firstLineChars="300"/>
        <w:rPr>
          <w:rFonts w:ascii="宋体" w:hAnsi="宋体"/>
          <w:color w:val="auto"/>
          <w:sz w:val="18"/>
          <w:szCs w:val="18"/>
          <w:highlight w:val="none"/>
        </w:rPr>
      </w:pPr>
      <w:r>
        <w:rPr>
          <w:rFonts w:hint="eastAsia" w:ascii="宋体" w:hAnsi="宋体"/>
          <w:color w:val="auto"/>
          <w:sz w:val="18"/>
          <w:szCs w:val="18"/>
          <w:highlight w:val="none"/>
        </w:rPr>
        <w:t>1.此表由招标人填写，如不能详列，也可只列暂定金额总额，投标人应将上述暂列金额计入投标总价中。</w:t>
      </w:r>
    </w:p>
    <w:p>
      <w:pPr>
        <w:ind w:firstLine="540" w:firstLineChars="300"/>
        <w:rPr>
          <w:rFonts w:ascii="宋体" w:hAnsi="宋体" w:cs="ËÎÌå"/>
          <w:color w:val="auto"/>
          <w:sz w:val="18"/>
          <w:szCs w:val="18"/>
          <w:highlight w:val="none"/>
        </w:rPr>
      </w:pPr>
      <w:r>
        <w:rPr>
          <w:rFonts w:hint="eastAsia" w:ascii="宋体" w:hAnsi="宋体" w:cs="ËÎÌå"/>
          <w:color w:val="auto"/>
          <w:sz w:val="18"/>
          <w:szCs w:val="18"/>
          <w:highlight w:val="none"/>
        </w:rPr>
        <w:t>2.工程结算时序号第1、第2项分别在施工组织措施项目和其他项目计价表内计列。</w:t>
      </w:r>
    </w:p>
    <w:p>
      <w:pPr>
        <w:pStyle w:val="17"/>
        <w:rPr>
          <w:color w:val="auto"/>
          <w:highlight w:val="none"/>
        </w:rPr>
      </w:pPr>
    </w:p>
    <w:p>
      <w:pPr>
        <w:widowControl/>
        <w:autoSpaceDN/>
        <w:jc w:val="center"/>
        <w:rPr>
          <w:rFonts w:ascii="宋体" w:hAnsi="宋体"/>
          <w:b/>
          <w:bCs/>
          <w:color w:val="auto"/>
          <w:highlight w:val="none"/>
        </w:rPr>
      </w:pPr>
      <w:r>
        <w:rPr>
          <w:rFonts w:hint="eastAsia" w:ascii="宋体" w:hAnsi="宋体"/>
          <w:b/>
          <w:bCs/>
          <w:color w:val="auto"/>
          <w:highlight w:val="none"/>
        </w:rPr>
        <w:t>材料（设备）暂估单价及调整表</w:t>
      </w:r>
    </w:p>
    <w:p>
      <w:pPr>
        <w:pStyle w:val="17"/>
        <w:rPr>
          <w:color w:val="auto"/>
          <w:highlight w:val="none"/>
        </w:rPr>
      </w:pPr>
    </w:p>
    <w:p>
      <w:pPr>
        <w:ind w:firstLine="480" w:firstLineChars="200"/>
        <w:rPr>
          <w:rFonts w:ascii="宋体" w:hAnsi="宋体"/>
          <w:color w:val="auto"/>
          <w:sz w:val="21"/>
          <w:szCs w:val="21"/>
          <w:highlight w:val="none"/>
        </w:rPr>
      </w:pPr>
      <w:r>
        <w:rPr>
          <w:rFonts w:hint="eastAsia" w:ascii="宋体" w:hAnsi="宋体"/>
          <w:color w:val="auto"/>
          <w:highlight w:val="none"/>
        </w:rPr>
        <w:t>单位（专业）工程名称：               标段：          第  页 共  页</w:t>
      </w:r>
    </w:p>
    <w:tbl>
      <w:tblPr>
        <w:tblStyle w:val="1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612"/>
        <w:gridCol w:w="648"/>
        <w:gridCol w:w="720"/>
        <w:gridCol w:w="720"/>
        <w:gridCol w:w="756"/>
        <w:gridCol w:w="684"/>
        <w:gridCol w:w="756"/>
        <w:gridCol w:w="684"/>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162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材料（工程设备）</w:t>
            </w:r>
          </w:p>
          <w:p>
            <w:pPr>
              <w:jc w:val="center"/>
              <w:rPr>
                <w:rFonts w:ascii="宋体" w:hAnsi="宋体"/>
                <w:color w:val="auto"/>
                <w:sz w:val="18"/>
                <w:szCs w:val="18"/>
                <w:highlight w:val="none"/>
              </w:rPr>
            </w:pPr>
            <w:r>
              <w:rPr>
                <w:rFonts w:hint="eastAsia" w:ascii="宋体" w:hAnsi="宋体"/>
                <w:color w:val="auto"/>
                <w:sz w:val="18"/>
                <w:szCs w:val="18"/>
                <w:highlight w:val="none"/>
              </w:rPr>
              <w:t>名称、规格、型号</w:t>
            </w:r>
          </w:p>
        </w:tc>
        <w:tc>
          <w:tcPr>
            <w:tcW w:w="612"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计量单位</w:t>
            </w:r>
          </w:p>
        </w:tc>
        <w:tc>
          <w:tcPr>
            <w:tcW w:w="136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1476"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暂估（元）</w:t>
            </w:r>
          </w:p>
        </w:tc>
        <w:tc>
          <w:tcPr>
            <w:tcW w:w="144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确认（元）</w:t>
            </w:r>
          </w:p>
        </w:tc>
        <w:tc>
          <w:tcPr>
            <w:tcW w:w="1404"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差额±（元）</w:t>
            </w:r>
          </w:p>
        </w:tc>
        <w:tc>
          <w:tcPr>
            <w:tcW w:w="72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62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612"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64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暂估</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确认</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单价</w:t>
            </w: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w:t>
            </w: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单价</w:t>
            </w: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w:t>
            </w: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单价</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w:t>
            </w:r>
          </w:p>
        </w:tc>
        <w:tc>
          <w:tcPr>
            <w:tcW w:w="72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61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4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61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4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61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4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61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4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7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64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left="1" w:firstLine="361" w:firstLineChars="201"/>
        <w:rPr>
          <w:rFonts w:ascii="宋体" w:hAnsi="宋体"/>
          <w:color w:val="auto"/>
          <w:sz w:val="18"/>
          <w:szCs w:val="18"/>
          <w:highlight w:val="none"/>
        </w:rPr>
      </w:pPr>
    </w:p>
    <w:p>
      <w:pPr>
        <w:ind w:left="1" w:firstLine="361" w:firstLineChars="201"/>
        <w:rPr>
          <w:rFonts w:ascii="宋体" w:hAnsi="宋体"/>
          <w:color w:val="auto"/>
          <w:sz w:val="18"/>
          <w:szCs w:val="18"/>
          <w:highlight w:val="none"/>
        </w:rPr>
      </w:pPr>
      <w:r>
        <w:rPr>
          <w:rFonts w:hint="eastAsia" w:ascii="宋体" w:hAnsi="宋体"/>
          <w:color w:val="auto"/>
          <w:sz w:val="18"/>
          <w:szCs w:val="18"/>
          <w:highlight w:val="none"/>
        </w:rPr>
        <w:t>注：</w:t>
      </w:r>
    </w:p>
    <w:p>
      <w:pPr>
        <w:ind w:left="1" w:firstLine="721" w:firstLineChars="401"/>
        <w:rPr>
          <w:rFonts w:ascii="宋体" w:hAnsi="宋体"/>
          <w:color w:val="auto"/>
          <w:sz w:val="18"/>
          <w:szCs w:val="18"/>
          <w:highlight w:val="none"/>
        </w:rPr>
      </w:pPr>
      <w:r>
        <w:rPr>
          <w:rFonts w:hint="eastAsia" w:ascii="宋体" w:hAnsi="宋体"/>
          <w:color w:val="auto"/>
          <w:sz w:val="18"/>
          <w:szCs w:val="18"/>
          <w:highlight w:val="none"/>
        </w:rPr>
        <w:t>1.此表“暂估单价”由招标人填写，并在备注栏说明暂估价的材料、设备拟用在哪些清单项目上，投标人应将上述材料、设备计入相应的工程量清单综合单价报价中。</w:t>
      </w:r>
    </w:p>
    <w:p>
      <w:pPr>
        <w:ind w:left="826" w:leftChars="344"/>
        <w:rPr>
          <w:rFonts w:ascii="宋体" w:hAnsi="宋体"/>
          <w:color w:val="auto"/>
          <w:sz w:val="18"/>
          <w:szCs w:val="18"/>
          <w:highlight w:val="none"/>
        </w:rPr>
      </w:pPr>
      <w:r>
        <w:rPr>
          <w:rFonts w:hint="eastAsia" w:ascii="宋体" w:hAnsi="宋体"/>
          <w:color w:val="auto"/>
          <w:sz w:val="18"/>
          <w:szCs w:val="18"/>
          <w:highlight w:val="none"/>
        </w:rPr>
        <w:t>2.本表中“确认”栏在工程各结算期内按合同双方确认值计列。</w:t>
      </w:r>
    </w:p>
    <w:p>
      <w:pPr>
        <w:widowControl/>
        <w:autoSpaceDN/>
        <w:jc w:val="center"/>
        <w:rPr>
          <w:rFonts w:ascii="宋体" w:hAnsi="宋体"/>
          <w:b/>
          <w:bCs/>
          <w:color w:val="auto"/>
          <w:highlight w:val="none"/>
        </w:rPr>
      </w:pPr>
      <w:r>
        <w:rPr>
          <w:rFonts w:hint="eastAsia" w:ascii="宋体" w:hAnsi="宋体"/>
          <w:color w:val="auto"/>
          <w:sz w:val="30"/>
          <w:szCs w:val="30"/>
          <w:highlight w:val="none"/>
        </w:rPr>
        <w:br w:type="page"/>
      </w:r>
      <w:r>
        <w:rPr>
          <w:rFonts w:hint="eastAsia" w:ascii="宋体" w:hAnsi="宋体"/>
          <w:b/>
          <w:bCs/>
          <w:color w:val="auto"/>
          <w:highlight w:val="none"/>
        </w:rPr>
        <w:t>专业工程暂估价表</w:t>
      </w:r>
    </w:p>
    <w:p>
      <w:pPr>
        <w:pStyle w:val="17"/>
        <w:rPr>
          <w:color w:val="auto"/>
          <w:highlight w:val="none"/>
        </w:rPr>
      </w:pPr>
    </w:p>
    <w:p>
      <w:pPr>
        <w:ind w:firstLine="480" w:firstLineChars="200"/>
        <w:rPr>
          <w:rFonts w:ascii="宋体" w:hAnsi="宋体"/>
          <w:color w:val="auto"/>
          <w:sz w:val="21"/>
          <w:szCs w:val="21"/>
          <w:highlight w:val="none"/>
        </w:rPr>
      </w:pPr>
      <w:r>
        <w:rPr>
          <w:rFonts w:hint="eastAsia" w:ascii="宋体" w:hAnsi="宋体"/>
          <w:color w:val="auto"/>
          <w:highlight w:val="none"/>
        </w:rPr>
        <w:t>单位（专业）工程名称：                      标段：    第   页 共   页</w:t>
      </w:r>
    </w:p>
    <w:tbl>
      <w:tblPr>
        <w:tblStyle w:val="18"/>
        <w:tblW w:w="87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48"/>
        <w:gridCol w:w="1786"/>
        <w:gridCol w:w="2484"/>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204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工程名称</w:t>
            </w:r>
          </w:p>
        </w:tc>
        <w:tc>
          <w:tcPr>
            <w:tcW w:w="17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工程内容</w:t>
            </w:r>
          </w:p>
        </w:tc>
        <w:tc>
          <w:tcPr>
            <w:tcW w:w="24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暂估金额（元）</w:t>
            </w:r>
          </w:p>
        </w:tc>
        <w:tc>
          <w:tcPr>
            <w:tcW w:w="172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48"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786"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24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72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48"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786"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24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72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48"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786"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24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72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5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248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72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360" w:firstLineChars="200"/>
        <w:rPr>
          <w:rFonts w:ascii="宋体" w:hAnsi="宋体"/>
          <w:color w:val="auto"/>
          <w:sz w:val="18"/>
          <w:szCs w:val="18"/>
          <w:highlight w:val="none"/>
        </w:rPr>
      </w:pP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注：</w:t>
      </w:r>
    </w:p>
    <w:p>
      <w:pPr>
        <w:ind w:firstLine="720" w:firstLineChars="400"/>
        <w:rPr>
          <w:rFonts w:ascii="宋体" w:hAnsi="宋体"/>
          <w:color w:val="auto"/>
          <w:sz w:val="18"/>
          <w:szCs w:val="18"/>
          <w:highlight w:val="none"/>
        </w:rPr>
      </w:pPr>
      <w:r>
        <w:rPr>
          <w:rFonts w:hint="eastAsia" w:ascii="宋体" w:hAnsi="宋体"/>
          <w:color w:val="auto"/>
          <w:sz w:val="18"/>
          <w:szCs w:val="18"/>
          <w:highlight w:val="none"/>
        </w:rPr>
        <w:t>1.此表“暂估金额”由招标人填写，投标人应将“暂估金额”计入投标总价中。</w:t>
      </w:r>
    </w:p>
    <w:p>
      <w:pPr>
        <w:ind w:firstLine="720" w:firstLineChars="400"/>
        <w:rPr>
          <w:rFonts w:ascii="宋体" w:hAnsi="宋体"/>
          <w:color w:val="auto"/>
          <w:sz w:val="18"/>
          <w:szCs w:val="18"/>
          <w:highlight w:val="none"/>
        </w:rPr>
      </w:pPr>
      <w:r>
        <w:rPr>
          <w:rFonts w:hint="eastAsia" w:ascii="宋体" w:hAnsi="宋体"/>
          <w:color w:val="auto"/>
          <w:sz w:val="18"/>
          <w:szCs w:val="18"/>
          <w:highlight w:val="none"/>
        </w:rPr>
        <w:t>2.结算时按合同约定结算金额填写，如合同约定按具体计价子目计价时，也可在项目相应计价表内列计。</w:t>
      </w:r>
    </w:p>
    <w:p>
      <w:pPr>
        <w:widowControl/>
        <w:autoSpaceDN/>
        <w:rPr>
          <w:rFonts w:ascii="宋体" w:hAnsi="宋体"/>
          <w:color w:val="auto"/>
          <w:highlight w:val="none"/>
        </w:rPr>
      </w:pPr>
    </w:p>
    <w:p>
      <w:pPr>
        <w:pStyle w:val="17"/>
        <w:rPr>
          <w:color w:val="auto"/>
          <w:highlight w:val="none"/>
        </w:rPr>
      </w:pPr>
    </w:p>
    <w:p>
      <w:pPr>
        <w:rPr>
          <w:color w:val="auto"/>
          <w:highlight w:val="none"/>
        </w:rPr>
      </w:pPr>
    </w:p>
    <w:p>
      <w:pPr>
        <w:pStyle w:val="17"/>
        <w:rPr>
          <w:color w:val="auto"/>
          <w:highlight w:val="none"/>
        </w:rPr>
      </w:pPr>
    </w:p>
    <w:p>
      <w:pPr>
        <w:jc w:val="center"/>
        <w:rPr>
          <w:rFonts w:ascii="宋体" w:hAnsi="宋体"/>
          <w:b/>
          <w:bCs/>
          <w:color w:val="auto"/>
          <w:highlight w:val="none"/>
        </w:rPr>
      </w:pPr>
      <w:r>
        <w:rPr>
          <w:rFonts w:hint="eastAsia" w:ascii="宋体" w:hAnsi="宋体"/>
          <w:b/>
          <w:bCs/>
          <w:color w:val="auto"/>
          <w:highlight w:val="none"/>
        </w:rPr>
        <w:t>专项技术措施暂估价表</w:t>
      </w:r>
    </w:p>
    <w:p>
      <w:pPr>
        <w:pStyle w:val="17"/>
        <w:rPr>
          <w:color w:val="auto"/>
          <w:highlight w:val="none"/>
        </w:rPr>
      </w:pPr>
    </w:p>
    <w:p>
      <w:pPr>
        <w:ind w:firstLine="480" w:firstLineChars="200"/>
        <w:rPr>
          <w:rFonts w:ascii="宋体" w:hAnsi="宋体"/>
          <w:color w:val="auto"/>
          <w:sz w:val="21"/>
          <w:szCs w:val="21"/>
          <w:highlight w:val="none"/>
        </w:rPr>
      </w:pPr>
      <w:r>
        <w:rPr>
          <w:rFonts w:hint="eastAsia" w:ascii="宋体" w:hAnsi="宋体"/>
          <w:color w:val="auto"/>
          <w:highlight w:val="none"/>
        </w:rPr>
        <w:t>单位（专业）工程名称：           标段：              第  页 共  页</w:t>
      </w:r>
    </w:p>
    <w:tbl>
      <w:tblPr>
        <w:tblStyle w:val="18"/>
        <w:tblW w:w="8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33"/>
        <w:gridCol w:w="2421"/>
        <w:gridCol w:w="165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21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工程名称</w:t>
            </w:r>
          </w:p>
        </w:tc>
        <w:tc>
          <w:tcPr>
            <w:tcW w:w="2421"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工程内容</w:t>
            </w:r>
          </w:p>
        </w:tc>
        <w:tc>
          <w:tcPr>
            <w:tcW w:w="165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暂估金额（元）</w:t>
            </w: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33"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2421"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65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33"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2421"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65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133"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2421"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65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2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165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360" w:firstLineChars="200"/>
        <w:rPr>
          <w:rFonts w:ascii="宋体" w:hAnsi="宋体"/>
          <w:color w:val="auto"/>
          <w:sz w:val="18"/>
          <w:szCs w:val="18"/>
          <w:highlight w:val="none"/>
        </w:rPr>
      </w:pP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注：</w:t>
      </w:r>
    </w:p>
    <w:p>
      <w:pPr>
        <w:ind w:firstLine="720" w:firstLineChars="400"/>
        <w:rPr>
          <w:rFonts w:ascii="宋体" w:hAnsi="宋体"/>
          <w:color w:val="auto"/>
          <w:sz w:val="18"/>
          <w:szCs w:val="18"/>
          <w:highlight w:val="none"/>
        </w:rPr>
      </w:pPr>
      <w:r>
        <w:rPr>
          <w:rFonts w:hint="eastAsia" w:ascii="宋体" w:hAnsi="宋体"/>
          <w:color w:val="auto"/>
          <w:sz w:val="18"/>
          <w:szCs w:val="18"/>
          <w:highlight w:val="none"/>
        </w:rPr>
        <w:t>1.此表“暂估金额”由招标人填写，投标人应将“暂估金额”计入投标总价中。</w:t>
      </w:r>
    </w:p>
    <w:p>
      <w:pPr>
        <w:ind w:firstLine="720" w:firstLineChars="400"/>
        <w:rPr>
          <w:rFonts w:ascii="宋体" w:hAnsi="宋体"/>
          <w:color w:val="auto"/>
          <w:sz w:val="18"/>
          <w:szCs w:val="18"/>
          <w:highlight w:val="none"/>
        </w:rPr>
      </w:pPr>
      <w:r>
        <w:rPr>
          <w:rFonts w:hint="eastAsia" w:ascii="宋体" w:hAnsi="宋体"/>
          <w:color w:val="auto"/>
          <w:sz w:val="18"/>
          <w:szCs w:val="18"/>
          <w:highlight w:val="none"/>
        </w:rPr>
        <w:t>2.结算时按合同约定结算金额填写，如合同约定按具体计价子目计价时，也可在项目相应计价表内计列。</w:t>
      </w:r>
    </w:p>
    <w:p>
      <w:pPr>
        <w:widowControl/>
        <w:autoSpaceDN/>
        <w:rPr>
          <w:rFonts w:ascii="宋体" w:hAnsi="宋体"/>
          <w:color w:val="auto"/>
          <w:highlight w:val="none"/>
        </w:rPr>
      </w:pPr>
      <w:r>
        <w:rPr>
          <w:rFonts w:hint="eastAsia" w:ascii="宋体" w:hAnsi="宋体"/>
          <w:color w:val="auto"/>
          <w:highlight w:val="none"/>
        </w:rPr>
        <w:br w:type="page"/>
      </w:r>
    </w:p>
    <w:p>
      <w:pPr>
        <w:jc w:val="center"/>
        <w:rPr>
          <w:rFonts w:ascii="宋体" w:hAnsi="宋体"/>
          <w:b/>
          <w:bCs/>
          <w:color w:val="auto"/>
          <w:highlight w:val="none"/>
        </w:rPr>
      </w:pPr>
      <w:r>
        <w:rPr>
          <w:rFonts w:hint="eastAsia" w:ascii="宋体" w:hAnsi="宋体"/>
          <w:b/>
          <w:bCs/>
          <w:color w:val="auto"/>
          <w:highlight w:val="none"/>
        </w:rPr>
        <w:t>计日工表</w:t>
      </w:r>
    </w:p>
    <w:p>
      <w:pPr>
        <w:ind w:firstLine="480" w:firstLineChars="200"/>
        <w:rPr>
          <w:rFonts w:ascii="宋体" w:hAnsi="宋体"/>
          <w:color w:val="auto"/>
          <w:sz w:val="21"/>
          <w:szCs w:val="21"/>
          <w:highlight w:val="none"/>
        </w:rPr>
      </w:pPr>
      <w:r>
        <w:rPr>
          <w:rFonts w:hint="eastAsia" w:ascii="宋体" w:hAnsi="宋体"/>
          <w:color w:val="auto"/>
          <w:highlight w:val="none"/>
        </w:rPr>
        <w:t>单位（专业）工程名称：            标段：            第  页 共  页</w:t>
      </w:r>
    </w:p>
    <w:tbl>
      <w:tblPr>
        <w:tblStyle w:val="18"/>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096"/>
        <w:gridCol w:w="686"/>
        <w:gridCol w:w="882"/>
        <w:gridCol w:w="1016"/>
        <w:gridCol w:w="1440"/>
        <w:gridCol w:w="756"/>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编号</w:t>
            </w:r>
          </w:p>
        </w:tc>
        <w:tc>
          <w:tcPr>
            <w:tcW w:w="3096"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项目名称</w:t>
            </w:r>
          </w:p>
        </w:tc>
        <w:tc>
          <w:tcPr>
            <w:tcW w:w="686"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882"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暂定</w:t>
            </w:r>
          </w:p>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1016"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实际数量</w:t>
            </w:r>
          </w:p>
        </w:tc>
        <w:tc>
          <w:tcPr>
            <w:tcW w:w="144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综合单价（元）</w:t>
            </w:r>
          </w:p>
        </w:tc>
        <w:tc>
          <w:tcPr>
            <w:tcW w:w="1519"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3096"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686"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882"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016"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144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暂定</w:t>
            </w: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一</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人工</w:t>
            </w: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（按需要填报人工等级或工种名称）</w:t>
            </w: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人工小计</w:t>
            </w: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二</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材料</w:t>
            </w: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材料小计</w:t>
            </w: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三</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施工机械</w:t>
            </w: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09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68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88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施工机械小计</w:t>
            </w: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总计</w:t>
            </w:r>
          </w:p>
        </w:tc>
        <w:tc>
          <w:tcPr>
            <w:tcW w:w="75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left="1" w:firstLine="206" w:firstLineChars="115"/>
        <w:rPr>
          <w:rFonts w:ascii="宋体" w:hAnsi="宋体"/>
          <w:color w:val="auto"/>
          <w:sz w:val="18"/>
          <w:szCs w:val="18"/>
          <w:highlight w:val="none"/>
        </w:rPr>
      </w:pPr>
    </w:p>
    <w:p>
      <w:pPr>
        <w:ind w:left="1" w:firstLine="206" w:firstLineChars="115"/>
        <w:rPr>
          <w:rFonts w:ascii="宋体" w:hAnsi="宋体"/>
          <w:color w:val="auto"/>
          <w:sz w:val="18"/>
          <w:szCs w:val="18"/>
          <w:highlight w:val="none"/>
        </w:rPr>
      </w:pPr>
      <w:r>
        <w:rPr>
          <w:rFonts w:hint="eastAsia" w:ascii="宋体" w:hAnsi="宋体"/>
          <w:color w:val="auto"/>
          <w:sz w:val="18"/>
          <w:szCs w:val="18"/>
          <w:highlight w:val="none"/>
        </w:rPr>
        <w:t>注：</w:t>
      </w:r>
    </w:p>
    <w:p>
      <w:pPr>
        <w:ind w:left="1" w:firstLine="567" w:firstLineChars="315"/>
        <w:rPr>
          <w:rFonts w:ascii="宋体" w:hAnsi="宋体"/>
          <w:color w:val="auto"/>
          <w:sz w:val="18"/>
          <w:szCs w:val="18"/>
          <w:highlight w:val="none"/>
        </w:rPr>
      </w:pPr>
      <w:r>
        <w:rPr>
          <w:rFonts w:hint="eastAsia" w:ascii="宋体" w:hAnsi="宋体"/>
          <w:color w:val="auto"/>
          <w:sz w:val="18"/>
          <w:szCs w:val="18"/>
          <w:highlight w:val="none"/>
        </w:rPr>
        <w:t>1.此表项目名称、暂定数量由招标人填写，编制招标控制价时，单价由招标人按有关计价规定确定；投标报价时，单价由投标人自主报价，按暂定数量计算合价计入投标总价中。</w:t>
      </w:r>
    </w:p>
    <w:p>
      <w:pPr>
        <w:ind w:left="619" w:leftChars="258"/>
        <w:rPr>
          <w:rFonts w:ascii="宋体" w:hAnsi="宋体"/>
          <w:color w:val="auto"/>
          <w:sz w:val="18"/>
          <w:szCs w:val="18"/>
          <w:highlight w:val="none"/>
        </w:rPr>
      </w:pPr>
      <w:r>
        <w:rPr>
          <w:rFonts w:hint="eastAsia" w:ascii="宋体" w:hAnsi="宋体"/>
          <w:color w:val="auto"/>
          <w:sz w:val="18"/>
          <w:szCs w:val="18"/>
          <w:highlight w:val="none"/>
        </w:rPr>
        <w:t>2.工程结算时，按发承包双方确认的实际数量计算合价，计列内容不得重复计价。</w:t>
      </w:r>
    </w:p>
    <w:p>
      <w:pPr>
        <w:widowControl/>
        <w:autoSpaceDN/>
        <w:jc w:val="center"/>
        <w:rPr>
          <w:rFonts w:ascii="宋体" w:hAnsi="宋体"/>
          <w:b/>
          <w:bCs/>
          <w:color w:val="auto"/>
          <w:highlight w:val="none"/>
        </w:rPr>
      </w:pPr>
    </w:p>
    <w:p>
      <w:pPr>
        <w:widowControl/>
        <w:autoSpaceDN/>
        <w:jc w:val="center"/>
        <w:rPr>
          <w:rFonts w:ascii="宋体" w:hAnsi="宋体"/>
          <w:b/>
          <w:bCs/>
          <w:color w:val="auto"/>
          <w:highlight w:val="none"/>
        </w:rPr>
      </w:pPr>
      <w:r>
        <w:rPr>
          <w:rFonts w:hint="eastAsia" w:ascii="宋体" w:hAnsi="宋体"/>
          <w:b/>
          <w:bCs/>
          <w:color w:val="auto"/>
          <w:highlight w:val="none"/>
        </w:rPr>
        <w:t>总承包服务费计价表</w:t>
      </w:r>
    </w:p>
    <w:p>
      <w:pPr>
        <w:pStyle w:val="17"/>
        <w:rPr>
          <w:color w:val="auto"/>
          <w:sz w:val="21"/>
          <w:szCs w:val="21"/>
          <w:highlight w:val="none"/>
        </w:rPr>
      </w:pPr>
      <w:r>
        <w:rPr>
          <w:rFonts w:hint="eastAsia"/>
          <w:color w:val="auto"/>
          <w:highlight w:val="none"/>
        </w:rPr>
        <w:t>单位（专业）工程名称：             标段：              第  页 共  页</w:t>
      </w:r>
    </w:p>
    <w:tbl>
      <w:tblPr>
        <w:tblStyle w:val="18"/>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402"/>
        <w:gridCol w:w="1439"/>
        <w:gridCol w:w="1015"/>
        <w:gridCol w:w="1079"/>
        <w:gridCol w:w="120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240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项目名称</w:t>
            </w: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项目价值（元）</w:t>
            </w: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服务内容</w:t>
            </w: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计算基础</w:t>
            </w: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费率（%）</w:t>
            </w: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c>
          <w:tcPr>
            <w:tcW w:w="2402"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发包人单独发包专业工程</w:t>
            </w: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w:t>
            </w:r>
          </w:p>
        </w:tc>
        <w:tc>
          <w:tcPr>
            <w:tcW w:w="2402"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1.2</w:t>
            </w:r>
          </w:p>
        </w:tc>
        <w:tc>
          <w:tcPr>
            <w:tcW w:w="240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2402"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发包人提供材料（设备）</w:t>
            </w: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2.1</w:t>
            </w:r>
          </w:p>
        </w:tc>
        <w:tc>
          <w:tcPr>
            <w:tcW w:w="240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2.2</w:t>
            </w:r>
          </w:p>
        </w:tc>
        <w:tc>
          <w:tcPr>
            <w:tcW w:w="240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40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101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2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1079"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270" w:firstLineChars="150"/>
        <w:rPr>
          <w:rFonts w:ascii="宋体" w:hAnsi="宋体" w:cs="ËÎÌå"/>
          <w:color w:val="auto"/>
          <w:sz w:val="18"/>
          <w:szCs w:val="18"/>
          <w:highlight w:val="none"/>
        </w:rPr>
      </w:pPr>
    </w:p>
    <w:p>
      <w:pPr>
        <w:ind w:firstLine="270" w:firstLineChars="150"/>
        <w:rPr>
          <w:rFonts w:ascii="宋体" w:hAnsi="宋体"/>
          <w:color w:val="auto"/>
          <w:sz w:val="18"/>
          <w:szCs w:val="18"/>
          <w:highlight w:val="none"/>
        </w:rPr>
      </w:pPr>
      <w:r>
        <w:rPr>
          <w:rFonts w:hint="eastAsia" w:ascii="宋体" w:hAnsi="宋体" w:cs="ËÎÌå"/>
          <w:color w:val="auto"/>
          <w:sz w:val="18"/>
          <w:szCs w:val="18"/>
          <w:highlight w:val="none"/>
        </w:rPr>
        <w:t>注：1.</w:t>
      </w:r>
      <w:r>
        <w:rPr>
          <w:rFonts w:hint="eastAsia" w:ascii="宋体" w:hAnsi="宋体"/>
          <w:color w:val="auto"/>
          <w:sz w:val="18"/>
          <w:szCs w:val="18"/>
          <w:highlight w:val="none"/>
        </w:rPr>
        <w:t>此表项目名称、项目价值、服务内容由招标人填写，编制招标控制价时，费率及金额由招标人按有关计价规定确定；投标报价时，费率及金额由投标人自主报价，计入投标总价中。</w:t>
      </w:r>
    </w:p>
    <w:p>
      <w:pPr>
        <w:pStyle w:val="17"/>
        <w:spacing w:before="0" w:beforeAutospacing="0" w:after="0"/>
        <w:ind w:firstLine="540" w:firstLineChars="300"/>
        <w:jc w:val="both"/>
        <w:rPr>
          <w:rFonts w:ascii="宋体" w:hAnsi="宋体"/>
          <w:b w:val="0"/>
          <w:color w:val="auto"/>
          <w:sz w:val="18"/>
          <w:szCs w:val="18"/>
          <w:highlight w:val="none"/>
        </w:rPr>
      </w:pPr>
      <w:r>
        <w:rPr>
          <w:rFonts w:hint="eastAsia" w:ascii="宋体" w:hAnsi="宋体"/>
          <w:b w:val="0"/>
          <w:color w:val="auto"/>
          <w:sz w:val="18"/>
          <w:szCs w:val="18"/>
          <w:highlight w:val="none"/>
        </w:rPr>
        <w:t>2.工程结算时本表各项目价值（或计费基础）是否调整由合同双方商定。</w:t>
      </w:r>
    </w:p>
    <w:p>
      <w:pPr>
        <w:widowControl/>
        <w:autoSpaceDN/>
        <w:jc w:val="center"/>
        <w:rPr>
          <w:color w:val="auto"/>
          <w:highlight w:val="none"/>
        </w:rPr>
      </w:pPr>
      <w:r>
        <w:rPr>
          <w:rFonts w:hint="eastAsia" w:ascii="宋体" w:hAnsi="宋体"/>
          <w:color w:val="auto"/>
          <w:sz w:val="30"/>
          <w:szCs w:val="30"/>
          <w:highlight w:val="none"/>
        </w:rPr>
        <w:br w:type="page"/>
      </w:r>
    </w:p>
    <w:p>
      <w:pPr>
        <w:jc w:val="center"/>
        <w:rPr>
          <w:rFonts w:ascii="宋体" w:hAnsi="宋体" w:cs="ËÎÌå"/>
          <w:b/>
          <w:bCs/>
          <w:color w:val="auto"/>
          <w:highlight w:val="none"/>
        </w:rPr>
      </w:pPr>
      <w:bookmarkStart w:id="719" w:name="_Toc45696680"/>
      <w:bookmarkEnd w:id="719"/>
      <w:bookmarkStart w:id="720" w:name="_Toc45697248"/>
      <w:r>
        <w:rPr>
          <w:rFonts w:hint="eastAsia" w:ascii="宋体" w:hAnsi="宋体" w:cs="ËÎÌå"/>
          <w:b/>
          <w:bCs/>
          <w:color w:val="auto"/>
          <w:highlight w:val="none"/>
        </w:rPr>
        <w:t>主要工日一览表</w:t>
      </w:r>
      <w:bookmarkEnd w:id="720"/>
    </w:p>
    <w:p>
      <w:pPr>
        <w:pStyle w:val="17"/>
        <w:rPr>
          <w:color w:val="auto"/>
          <w:highlight w:val="none"/>
        </w:rPr>
      </w:pPr>
    </w:p>
    <w:p>
      <w:pPr>
        <w:rPr>
          <w:rFonts w:ascii="宋体" w:hAnsi="宋体"/>
          <w:color w:val="auto"/>
          <w:sz w:val="21"/>
          <w:szCs w:val="21"/>
          <w:highlight w:val="none"/>
        </w:rPr>
      </w:pPr>
      <w:r>
        <w:rPr>
          <w:rFonts w:hint="eastAsia" w:ascii="宋体" w:hAnsi="宋体"/>
          <w:color w:val="auto"/>
          <w:highlight w:val="none"/>
        </w:rPr>
        <w:t>工程名称：                    标段：               第  页 共  页</w:t>
      </w:r>
    </w:p>
    <w:tbl>
      <w:tblPr>
        <w:tblStyle w:val="1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90"/>
        <w:gridCol w:w="720"/>
        <w:gridCol w:w="1080"/>
        <w:gridCol w:w="12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工日名称（类别）</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单价（元）</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合价（元）</w:t>
            </w: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360" w:firstLineChars="200"/>
        <w:rPr>
          <w:rFonts w:ascii="宋体" w:hAnsi="宋体"/>
          <w:color w:val="auto"/>
          <w:sz w:val="18"/>
          <w:szCs w:val="18"/>
          <w:highlight w:val="none"/>
        </w:rPr>
      </w:pP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注：此表按不同计价文件编制阶段要求填写，其中：</w:t>
      </w:r>
    </w:p>
    <w:p>
      <w:pPr>
        <w:ind w:firstLine="180" w:firstLineChars="100"/>
        <w:rPr>
          <w:rFonts w:ascii="宋体" w:hAnsi="宋体"/>
          <w:color w:val="auto"/>
          <w:sz w:val="18"/>
          <w:szCs w:val="18"/>
          <w:highlight w:val="none"/>
        </w:rPr>
      </w:pPr>
      <w:r>
        <w:rPr>
          <w:rFonts w:hint="eastAsia" w:ascii="宋体" w:hAnsi="宋体"/>
          <w:color w:val="auto"/>
          <w:sz w:val="18"/>
          <w:szCs w:val="18"/>
          <w:highlight w:val="none"/>
        </w:rPr>
        <w:t xml:space="preserve">  “工日名称（类别）”、“单位”栏内容由招标人在招标工程量清单内填写,各计价阶段可按需要补充或减少内容；</w:t>
      </w:r>
    </w:p>
    <w:p>
      <w:pPr>
        <w:ind w:firstLine="180" w:firstLineChars="100"/>
        <w:rPr>
          <w:rFonts w:ascii="宋体" w:hAnsi="宋体"/>
          <w:color w:val="auto"/>
          <w:sz w:val="18"/>
          <w:szCs w:val="18"/>
          <w:highlight w:val="none"/>
        </w:rPr>
      </w:pPr>
      <w:r>
        <w:rPr>
          <w:rFonts w:hint="eastAsia" w:ascii="宋体" w:hAnsi="宋体"/>
          <w:color w:val="auto"/>
          <w:sz w:val="18"/>
          <w:szCs w:val="18"/>
          <w:highlight w:val="none"/>
        </w:rPr>
        <w:t xml:space="preserve">  “数量”栏由不同阶段计价人按工程计量分析数量填写；</w:t>
      </w:r>
    </w:p>
    <w:p>
      <w:pPr>
        <w:ind w:firstLine="180" w:firstLineChars="100"/>
        <w:rPr>
          <w:rFonts w:ascii="宋体" w:hAnsi="宋体"/>
          <w:color w:val="auto"/>
          <w:sz w:val="18"/>
          <w:szCs w:val="18"/>
          <w:highlight w:val="none"/>
        </w:rPr>
      </w:pPr>
      <w:r>
        <w:rPr>
          <w:rFonts w:hint="eastAsia" w:ascii="宋体" w:hAnsi="宋体"/>
          <w:color w:val="auto"/>
          <w:sz w:val="18"/>
          <w:szCs w:val="18"/>
          <w:highlight w:val="none"/>
        </w:rPr>
        <w:t xml:space="preserve">  “单价”栏的填写：招标控制价应优先采用工程造价管理机构发布的单价；投标报价由投标人在投标时自主确定投标单价；工程结算时按合同约定确定单价。</w:t>
      </w:r>
    </w:p>
    <w:p>
      <w:pPr>
        <w:rPr>
          <w:rFonts w:ascii="宋体" w:hAnsi="宋体" w:cs="ËÎÌå"/>
          <w:color w:val="auto"/>
          <w:sz w:val="21"/>
          <w:szCs w:val="21"/>
          <w:highlight w:val="none"/>
        </w:rPr>
      </w:pPr>
    </w:p>
    <w:p>
      <w:pPr>
        <w:pStyle w:val="17"/>
        <w:rPr>
          <w:color w:val="auto"/>
          <w:highlight w:val="none"/>
        </w:rPr>
      </w:pPr>
    </w:p>
    <w:p>
      <w:pPr>
        <w:rPr>
          <w:color w:val="auto"/>
          <w:highlight w:val="none"/>
        </w:rPr>
      </w:pPr>
    </w:p>
    <w:p>
      <w:pPr>
        <w:pStyle w:val="17"/>
        <w:rPr>
          <w:color w:val="auto"/>
          <w:highlight w:val="none"/>
        </w:rPr>
      </w:pPr>
    </w:p>
    <w:p>
      <w:pPr>
        <w:jc w:val="center"/>
        <w:rPr>
          <w:rFonts w:ascii="宋体" w:hAnsi="宋体" w:cs="ËÎÌå"/>
          <w:b/>
          <w:bCs/>
          <w:color w:val="auto"/>
          <w:highlight w:val="none"/>
        </w:rPr>
      </w:pPr>
      <w:bookmarkStart w:id="721" w:name="_Toc45696681"/>
      <w:r>
        <w:rPr>
          <w:rFonts w:hint="eastAsia" w:ascii="宋体" w:hAnsi="宋体" w:cs="ËÎÌå"/>
          <w:b/>
          <w:bCs/>
          <w:color w:val="auto"/>
          <w:highlight w:val="none"/>
        </w:rPr>
        <w:t>发包人提供材料和设备一览表</w:t>
      </w:r>
      <w:bookmarkEnd w:id="721"/>
    </w:p>
    <w:p>
      <w:pPr>
        <w:pStyle w:val="17"/>
        <w:rPr>
          <w:color w:val="auto"/>
          <w:highlight w:val="none"/>
        </w:rPr>
      </w:pPr>
    </w:p>
    <w:p>
      <w:pPr>
        <w:rPr>
          <w:rFonts w:ascii="宋体" w:hAnsi="宋体"/>
          <w:color w:val="auto"/>
          <w:sz w:val="21"/>
          <w:szCs w:val="21"/>
          <w:highlight w:val="none"/>
        </w:rPr>
      </w:pPr>
      <w:r>
        <w:rPr>
          <w:rFonts w:hint="eastAsia" w:ascii="宋体" w:hAnsi="宋体"/>
          <w:color w:val="auto"/>
          <w:highlight w:val="none"/>
        </w:rPr>
        <w:t>工程名称：                       标段：               第  页 共  页</w:t>
      </w:r>
    </w:p>
    <w:tbl>
      <w:tblPr>
        <w:tblStyle w:val="1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3150"/>
        <w:gridCol w:w="720"/>
        <w:gridCol w:w="900"/>
        <w:gridCol w:w="900"/>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31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材料(设备)名称、规格、型号</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单价</w:t>
            </w:r>
          </w:p>
          <w:p>
            <w:pPr>
              <w:jc w:val="center"/>
              <w:rPr>
                <w:rFonts w:ascii="宋体" w:hAnsi="宋体"/>
                <w:color w:val="auto"/>
                <w:sz w:val="18"/>
                <w:szCs w:val="18"/>
                <w:highlight w:val="none"/>
              </w:rPr>
            </w:pPr>
            <w:r>
              <w:rPr>
                <w:rFonts w:hint="eastAsia" w:ascii="宋体" w:hAnsi="宋体"/>
                <w:color w:val="auto"/>
                <w:sz w:val="18"/>
                <w:szCs w:val="18"/>
                <w:highlight w:val="none"/>
              </w:rPr>
              <w:t>（元）</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交货</w:t>
            </w:r>
          </w:p>
          <w:p>
            <w:pPr>
              <w:jc w:val="center"/>
              <w:rPr>
                <w:rFonts w:ascii="宋体" w:hAnsi="宋体"/>
                <w:color w:val="auto"/>
                <w:sz w:val="18"/>
                <w:szCs w:val="18"/>
                <w:highlight w:val="none"/>
              </w:rPr>
            </w:pPr>
            <w:r>
              <w:rPr>
                <w:rFonts w:hint="eastAsia" w:ascii="宋体" w:hAnsi="宋体"/>
                <w:color w:val="auto"/>
                <w:sz w:val="18"/>
                <w:szCs w:val="18"/>
                <w:highlight w:val="none"/>
              </w:rPr>
              <w:t>方式</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送达</w:t>
            </w:r>
          </w:p>
          <w:p>
            <w:pPr>
              <w:jc w:val="center"/>
              <w:rPr>
                <w:rFonts w:ascii="宋体" w:hAnsi="宋体"/>
                <w:color w:val="auto"/>
                <w:sz w:val="18"/>
                <w:szCs w:val="18"/>
                <w:highlight w:val="none"/>
              </w:rPr>
            </w:pPr>
            <w:r>
              <w:rPr>
                <w:rFonts w:hint="eastAsia" w:ascii="宋体" w:hAnsi="宋体"/>
                <w:color w:val="auto"/>
                <w:sz w:val="18"/>
                <w:szCs w:val="18"/>
                <w:highlight w:val="none"/>
              </w:rPr>
              <w:t>地点</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31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31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31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31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180" w:firstLineChars="100"/>
        <w:rPr>
          <w:rFonts w:ascii="宋体" w:hAnsi="宋体"/>
          <w:color w:val="auto"/>
          <w:sz w:val="18"/>
          <w:szCs w:val="18"/>
          <w:highlight w:val="none"/>
        </w:rPr>
      </w:pPr>
    </w:p>
    <w:p>
      <w:pPr>
        <w:ind w:firstLine="180" w:firstLineChars="100"/>
        <w:rPr>
          <w:rFonts w:ascii="宋体" w:hAnsi="宋体"/>
          <w:color w:val="auto"/>
          <w:sz w:val="18"/>
          <w:szCs w:val="18"/>
          <w:highlight w:val="none"/>
        </w:rPr>
      </w:pPr>
      <w:r>
        <w:rPr>
          <w:rFonts w:hint="eastAsia" w:ascii="宋体" w:hAnsi="宋体"/>
          <w:color w:val="auto"/>
          <w:sz w:val="18"/>
          <w:szCs w:val="18"/>
          <w:highlight w:val="none"/>
        </w:rPr>
        <w:t>注：此表由招标人填写，供投标人在投标报价、确定总承包服务费时参考。</w:t>
      </w:r>
    </w:p>
    <w:p>
      <w:pPr>
        <w:widowControl/>
        <w:autoSpaceDN/>
        <w:rPr>
          <w:rFonts w:ascii="宋体" w:hAnsi="宋体"/>
          <w:color w:val="auto"/>
          <w:highlight w:val="none"/>
        </w:rPr>
      </w:pPr>
    </w:p>
    <w:p>
      <w:pPr>
        <w:widowControl/>
        <w:autoSpaceDN/>
        <w:rPr>
          <w:rFonts w:ascii="宋体" w:hAnsi="宋体"/>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bookmarkStart w:id="722" w:name="_Toc45697249"/>
      <w:bookmarkEnd w:id="722"/>
    </w:p>
    <w:p>
      <w:pPr>
        <w:jc w:val="center"/>
        <w:rPr>
          <w:rFonts w:ascii="宋体" w:hAnsi="宋体" w:cs="ËÎÌå"/>
          <w:b/>
          <w:bCs/>
          <w:color w:val="auto"/>
          <w:highlight w:val="none"/>
        </w:rPr>
      </w:pPr>
      <w:bookmarkStart w:id="723" w:name="_Toc45696682"/>
      <w:bookmarkEnd w:id="723"/>
      <w:bookmarkStart w:id="724" w:name="_Toc45697250"/>
      <w:r>
        <w:rPr>
          <w:rFonts w:hint="eastAsia" w:ascii="宋体" w:hAnsi="宋体" w:cs="ËÎÌå"/>
          <w:b/>
          <w:bCs/>
          <w:color w:val="auto"/>
          <w:highlight w:val="none"/>
        </w:rPr>
        <w:t>主要材料和设备一览表</w:t>
      </w:r>
      <w:bookmarkEnd w:id="724"/>
    </w:p>
    <w:p>
      <w:pPr>
        <w:pStyle w:val="17"/>
        <w:rPr>
          <w:color w:val="auto"/>
          <w:highlight w:val="none"/>
        </w:rPr>
      </w:pPr>
    </w:p>
    <w:p>
      <w:pPr>
        <w:rPr>
          <w:rFonts w:ascii="宋体" w:hAnsi="宋体"/>
          <w:color w:val="auto"/>
          <w:sz w:val="21"/>
          <w:szCs w:val="21"/>
          <w:highlight w:val="none"/>
        </w:rPr>
      </w:pPr>
      <w:r>
        <w:rPr>
          <w:rFonts w:hint="eastAsia" w:ascii="宋体" w:hAnsi="宋体"/>
          <w:color w:val="auto"/>
          <w:highlight w:val="none"/>
        </w:rPr>
        <w:t>工程名称：                       标段：               第  页 共  页</w:t>
      </w:r>
    </w:p>
    <w:tbl>
      <w:tblPr>
        <w:tblStyle w:val="1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90"/>
        <w:gridCol w:w="720"/>
        <w:gridCol w:w="1080"/>
        <w:gridCol w:w="12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名称、规格、型号</w:t>
            </w: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单价（元）</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合价（元）</w:t>
            </w: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189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2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282" w:firstLineChars="157"/>
        <w:rPr>
          <w:rFonts w:ascii="宋体" w:hAnsi="宋体"/>
          <w:color w:val="auto"/>
          <w:sz w:val="18"/>
          <w:szCs w:val="18"/>
          <w:highlight w:val="none"/>
        </w:rPr>
      </w:pPr>
    </w:p>
    <w:p>
      <w:pPr>
        <w:ind w:firstLine="282" w:firstLineChars="157"/>
        <w:rPr>
          <w:rFonts w:ascii="宋体" w:hAnsi="宋体"/>
          <w:color w:val="auto"/>
          <w:sz w:val="18"/>
          <w:szCs w:val="18"/>
          <w:highlight w:val="none"/>
        </w:rPr>
      </w:pPr>
      <w:bookmarkStart w:id="725" w:name="_Toc45697251"/>
      <w:bookmarkEnd w:id="725"/>
      <w:bookmarkStart w:id="726" w:name="_Toc45696683"/>
      <w:r>
        <w:rPr>
          <w:rFonts w:hint="eastAsia" w:ascii="宋体" w:hAnsi="宋体"/>
          <w:color w:val="auto"/>
          <w:sz w:val="18"/>
          <w:szCs w:val="18"/>
          <w:highlight w:val="none"/>
        </w:rPr>
        <w:t>注：此表按不同计价文件编制阶段要求填写，其中：</w:t>
      </w:r>
      <w:bookmarkEnd w:id="726"/>
    </w:p>
    <w:p>
      <w:pPr>
        <w:ind w:firstLine="282" w:firstLineChars="157"/>
        <w:rPr>
          <w:rFonts w:ascii="宋体" w:hAnsi="宋体"/>
          <w:color w:val="auto"/>
          <w:sz w:val="18"/>
          <w:szCs w:val="18"/>
          <w:highlight w:val="none"/>
        </w:rPr>
      </w:pPr>
      <w:bookmarkStart w:id="727" w:name="_Toc45696684"/>
      <w:bookmarkEnd w:id="727"/>
      <w:bookmarkStart w:id="728" w:name="_Toc45697252"/>
      <w:r>
        <w:rPr>
          <w:rFonts w:hint="eastAsia" w:ascii="宋体" w:hAnsi="宋体"/>
          <w:color w:val="auto"/>
          <w:sz w:val="18"/>
          <w:szCs w:val="18"/>
          <w:highlight w:val="none"/>
        </w:rPr>
        <w:t>“名称、规格、型号”、“单位”栏内容由招标人在招标工程量清单内填写,各计价阶段可按需要补充和调整；</w:t>
      </w:r>
      <w:bookmarkEnd w:id="728"/>
    </w:p>
    <w:p>
      <w:pPr>
        <w:ind w:firstLine="282" w:firstLineChars="157"/>
        <w:rPr>
          <w:rFonts w:ascii="宋体" w:hAnsi="宋体"/>
          <w:color w:val="auto"/>
          <w:sz w:val="18"/>
          <w:szCs w:val="18"/>
          <w:highlight w:val="none"/>
        </w:rPr>
      </w:pPr>
      <w:bookmarkStart w:id="729" w:name="_Toc45697253"/>
      <w:bookmarkEnd w:id="729"/>
      <w:bookmarkStart w:id="730" w:name="_Toc45696685"/>
      <w:r>
        <w:rPr>
          <w:rFonts w:hint="eastAsia" w:ascii="宋体" w:hAnsi="宋体"/>
          <w:color w:val="auto"/>
          <w:sz w:val="18"/>
          <w:szCs w:val="18"/>
          <w:highlight w:val="none"/>
        </w:rPr>
        <w:t>“数量”栏由不同阶段计价人按工程计量分析数量填写；</w:t>
      </w:r>
      <w:bookmarkEnd w:id="730"/>
    </w:p>
    <w:p>
      <w:pPr>
        <w:ind w:firstLine="282" w:firstLineChars="157"/>
        <w:rPr>
          <w:rFonts w:ascii="宋体" w:hAnsi="宋体"/>
          <w:color w:val="auto"/>
          <w:sz w:val="18"/>
          <w:szCs w:val="18"/>
          <w:highlight w:val="none"/>
        </w:rPr>
      </w:pPr>
      <w:bookmarkStart w:id="731" w:name="_Toc45696686"/>
      <w:bookmarkEnd w:id="731"/>
      <w:bookmarkStart w:id="732" w:name="_Toc45697254"/>
      <w:r>
        <w:rPr>
          <w:rFonts w:hint="eastAsia" w:ascii="宋体" w:hAnsi="宋体"/>
          <w:color w:val="auto"/>
          <w:sz w:val="18"/>
          <w:szCs w:val="18"/>
          <w:highlight w:val="none"/>
        </w:rPr>
        <w:t>“单价”栏的填写：招标控制价应优先采用工程造价管理机构发布的单价；投标报价由投标</w:t>
      </w:r>
      <w:bookmarkEnd w:id="732"/>
      <w:bookmarkStart w:id="733" w:name="_Toc45696687"/>
      <w:bookmarkEnd w:id="733"/>
      <w:bookmarkStart w:id="734" w:name="_Toc45697255"/>
      <w:r>
        <w:rPr>
          <w:rFonts w:hint="eastAsia" w:ascii="宋体" w:hAnsi="宋体"/>
          <w:color w:val="auto"/>
          <w:sz w:val="18"/>
          <w:szCs w:val="18"/>
          <w:highlight w:val="none"/>
        </w:rPr>
        <w:t>人在投标时自主确定投标单价；工程结算时按合同约定确定单价。</w:t>
      </w:r>
      <w:bookmarkEnd w:id="734"/>
    </w:p>
    <w:p>
      <w:pPr>
        <w:rPr>
          <w:color w:val="auto"/>
          <w:highlight w:val="none"/>
        </w:rPr>
      </w:pPr>
    </w:p>
    <w:p>
      <w:pPr>
        <w:pStyle w:val="17"/>
        <w:rPr>
          <w:color w:val="auto"/>
          <w:highlight w:val="none"/>
        </w:rPr>
      </w:pPr>
    </w:p>
    <w:p>
      <w:pPr>
        <w:rPr>
          <w:color w:val="auto"/>
          <w:highlight w:val="none"/>
        </w:rPr>
      </w:pPr>
    </w:p>
    <w:p>
      <w:pPr>
        <w:widowControl/>
        <w:autoSpaceDN/>
        <w:jc w:val="center"/>
        <w:rPr>
          <w:rFonts w:ascii="宋体" w:hAnsi="宋体" w:cs="ËÎÌå"/>
          <w:b/>
          <w:bCs/>
          <w:color w:val="auto"/>
          <w:highlight w:val="none"/>
        </w:rPr>
      </w:pPr>
      <w:r>
        <w:rPr>
          <w:rFonts w:hint="eastAsia" w:ascii="宋体" w:hAnsi="宋体" w:cs="ËÎÌå"/>
          <w:b/>
          <w:bCs/>
          <w:color w:val="auto"/>
          <w:highlight w:val="none"/>
        </w:rPr>
        <w:t>主要机械台班一览表</w:t>
      </w:r>
    </w:p>
    <w:p>
      <w:pPr>
        <w:rPr>
          <w:rFonts w:ascii="宋体" w:hAnsi="宋体"/>
          <w:color w:val="auto"/>
          <w:sz w:val="21"/>
          <w:szCs w:val="21"/>
          <w:highlight w:val="none"/>
        </w:rPr>
      </w:pPr>
      <w:r>
        <w:rPr>
          <w:rFonts w:hint="eastAsia" w:ascii="宋体" w:hAnsi="宋体"/>
          <w:color w:val="auto"/>
          <w:highlight w:val="none"/>
        </w:rPr>
        <w:t>工程名称：                       标段：               第  页 共  页</w:t>
      </w:r>
    </w:p>
    <w:tbl>
      <w:tblPr>
        <w:tblStyle w:val="1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033"/>
        <w:gridCol w:w="700"/>
        <w:gridCol w:w="957"/>
        <w:gridCol w:w="12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机械名称、规格、型号</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95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单价（元）</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合价（元）</w:t>
            </w: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57"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57"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57"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57"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c>
          <w:tcPr>
            <w:tcW w:w="70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957"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26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auto"/>
                <w:sz w:val="18"/>
                <w:szCs w:val="18"/>
                <w:highlight w:val="none"/>
              </w:rPr>
            </w:pP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18"/>
                <w:szCs w:val="18"/>
                <w:highlight w:val="none"/>
              </w:rPr>
            </w:pPr>
          </w:p>
        </w:tc>
      </w:tr>
    </w:tbl>
    <w:p>
      <w:pPr>
        <w:ind w:firstLine="282" w:firstLineChars="157"/>
        <w:rPr>
          <w:rFonts w:ascii="宋体" w:hAnsi="宋体"/>
          <w:color w:val="auto"/>
          <w:sz w:val="18"/>
          <w:szCs w:val="18"/>
          <w:highlight w:val="none"/>
        </w:rPr>
      </w:pPr>
    </w:p>
    <w:p>
      <w:pPr>
        <w:ind w:firstLine="282" w:firstLineChars="157"/>
        <w:rPr>
          <w:rFonts w:ascii="宋体" w:hAnsi="宋体"/>
          <w:color w:val="auto"/>
          <w:sz w:val="18"/>
          <w:szCs w:val="18"/>
          <w:highlight w:val="none"/>
        </w:rPr>
      </w:pPr>
      <w:bookmarkStart w:id="735" w:name="_Toc45696688"/>
      <w:bookmarkEnd w:id="735"/>
      <w:bookmarkStart w:id="736" w:name="_Toc45697256"/>
      <w:r>
        <w:rPr>
          <w:rFonts w:hint="eastAsia" w:ascii="宋体" w:hAnsi="宋体"/>
          <w:color w:val="auto"/>
          <w:sz w:val="18"/>
          <w:szCs w:val="18"/>
          <w:highlight w:val="none"/>
        </w:rPr>
        <w:t>注：此表按不同计价文件编制阶段要求填写，其中：</w:t>
      </w:r>
      <w:bookmarkEnd w:id="736"/>
    </w:p>
    <w:p>
      <w:pPr>
        <w:ind w:firstLine="282" w:firstLineChars="157"/>
        <w:rPr>
          <w:rFonts w:ascii="宋体" w:hAnsi="宋体"/>
          <w:color w:val="auto"/>
          <w:sz w:val="18"/>
          <w:szCs w:val="18"/>
          <w:highlight w:val="none"/>
        </w:rPr>
      </w:pPr>
      <w:bookmarkStart w:id="737" w:name="_Toc45696689"/>
      <w:bookmarkEnd w:id="737"/>
      <w:bookmarkStart w:id="738" w:name="_Toc45697257"/>
      <w:r>
        <w:rPr>
          <w:rFonts w:hint="eastAsia" w:ascii="宋体" w:hAnsi="宋体"/>
          <w:color w:val="auto"/>
          <w:sz w:val="18"/>
          <w:szCs w:val="18"/>
          <w:highlight w:val="none"/>
        </w:rPr>
        <w:t>“机械名称、规格、型号”、“单位”栏内容由招标人在招标工程量清单内填写,各计价阶段可按需要补充；</w:t>
      </w:r>
      <w:bookmarkEnd w:id="738"/>
    </w:p>
    <w:p>
      <w:pPr>
        <w:ind w:firstLine="282" w:firstLineChars="157"/>
        <w:rPr>
          <w:rFonts w:ascii="宋体" w:hAnsi="宋体"/>
          <w:color w:val="auto"/>
          <w:sz w:val="18"/>
          <w:szCs w:val="18"/>
          <w:highlight w:val="none"/>
        </w:rPr>
      </w:pPr>
      <w:bookmarkStart w:id="739" w:name="_Toc45697258"/>
      <w:bookmarkEnd w:id="739"/>
      <w:bookmarkStart w:id="740" w:name="_Toc45696690"/>
      <w:r>
        <w:rPr>
          <w:rFonts w:hint="eastAsia" w:ascii="宋体" w:hAnsi="宋体"/>
          <w:color w:val="auto"/>
          <w:sz w:val="18"/>
          <w:szCs w:val="18"/>
          <w:highlight w:val="none"/>
        </w:rPr>
        <w:t>“数量”栏由不同阶段计价人按工程计量分析数量填写；</w:t>
      </w:r>
      <w:bookmarkEnd w:id="740"/>
    </w:p>
    <w:p>
      <w:pPr>
        <w:ind w:firstLine="282" w:firstLineChars="157"/>
        <w:rPr>
          <w:rFonts w:ascii="宋体" w:hAnsi="宋体"/>
          <w:color w:val="auto"/>
          <w:sz w:val="18"/>
          <w:szCs w:val="18"/>
          <w:highlight w:val="none"/>
        </w:rPr>
      </w:pPr>
      <w:bookmarkStart w:id="741" w:name="_Toc45697259"/>
      <w:bookmarkEnd w:id="741"/>
      <w:bookmarkStart w:id="742" w:name="_Toc45696691"/>
      <w:r>
        <w:rPr>
          <w:rFonts w:hint="eastAsia" w:ascii="宋体" w:hAnsi="宋体"/>
          <w:color w:val="auto"/>
          <w:sz w:val="18"/>
          <w:szCs w:val="18"/>
          <w:highlight w:val="none"/>
        </w:rPr>
        <w:t>“单价”栏的填写：招标控制价应优先采用工程造价管理机构发布的单价；投标报价由投标人在投标时自主确定投标单价；工程结算时按合同约定确定单价。</w:t>
      </w:r>
      <w:bookmarkEnd w:id="742"/>
    </w:p>
    <w:p>
      <w:pPr>
        <w:pStyle w:val="17"/>
        <w:rPr>
          <w:color w:val="auto"/>
          <w:highlight w:val="none"/>
        </w:rPr>
        <w:sectPr>
          <w:pgSz w:w="11905" w:h="16838"/>
          <w:pgMar w:top="1400" w:right="1587" w:bottom="1123" w:left="1587" w:header="0" w:footer="918" w:gutter="0"/>
          <w:cols w:space="720" w:num="1"/>
        </w:sectPr>
      </w:pPr>
    </w:p>
    <w:p>
      <w:pPr>
        <w:widowControl/>
        <w:autoSpaceDE/>
        <w:autoSpaceDN/>
        <w:adjustRightInd/>
        <w:spacing w:line="360" w:lineRule="auto"/>
        <w:rPr>
          <w:rFonts w:ascii="宋体" w:hAnsi="宋体"/>
          <w:color w:val="auto"/>
          <w:sz w:val="72"/>
          <w:szCs w:val="72"/>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rPr>
          <w:color w:val="auto"/>
          <w:highlight w:val="none"/>
        </w:rPr>
        <w:sectPr>
          <w:type w:val="continuous"/>
          <w:pgSz w:w="11905" w:h="16838"/>
          <w:pgMar w:top="1400" w:right="1587" w:bottom="1123" w:left="1587" w:header="0" w:footer="918" w:gutter="0"/>
          <w:cols w:space="720" w:num="1"/>
        </w:sectPr>
      </w:pPr>
    </w:p>
    <w:p>
      <w:pPr>
        <w:jc w:val="center"/>
        <w:rPr>
          <w:b/>
          <w:bCs/>
          <w:color w:val="auto"/>
          <w:sz w:val="72"/>
          <w:szCs w:val="72"/>
          <w:highlight w:val="none"/>
        </w:rPr>
      </w:pPr>
      <w:r>
        <w:rPr>
          <w:rFonts w:hint="eastAsia" w:ascii="宋体" w:hAnsi="宋体"/>
          <w:b/>
          <w:bCs/>
          <w:color w:val="auto"/>
          <w:sz w:val="72"/>
          <w:szCs w:val="72"/>
          <w:highlight w:val="none"/>
        </w:rPr>
        <w:t>施工投标文件</w:t>
      </w:r>
    </w:p>
    <w:p>
      <w:pPr>
        <w:jc w:val="center"/>
        <w:rPr>
          <w:color w:val="auto"/>
          <w:sz w:val="36"/>
          <w:szCs w:val="36"/>
          <w:highlight w:val="none"/>
        </w:rPr>
      </w:pPr>
      <w:r>
        <w:rPr>
          <w:rFonts w:hint="eastAsia" w:ascii="宋体" w:hAnsi="宋体"/>
          <w:color w:val="auto"/>
          <w:sz w:val="36"/>
          <w:szCs w:val="36"/>
          <w:highlight w:val="none"/>
        </w:rPr>
        <w:t>（封面）</w:t>
      </w:r>
    </w:p>
    <w:p>
      <w:pPr>
        <w:rPr>
          <w:color w:val="auto"/>
          <w:highlight w:val="none"/>
        </w:rPr>
      </w:pPr>
    </w:p>
    <w:p>
      <w:pPr>
        <w:rPr>
          <w:color w:val="auto"/>
          <w:sz w:val="32"/>
          <w:szCs w:val="32"/>
          <w:highlight w:val="none"/>
        </w:rPr>
      </w:pPr>
    </w:p>
    <w:p>
      <w:pPr>
        <w:rPr>
          <w:color w:val="auto"/>
          <w:sz w:val="32"/>
          <w:szCs w:val="32"/>
          <w:highlight w:val="none"/>
        </w:rPr>
      </w:pPr>
    </w:p>
    <w:p>
      <w:pPr>
        <w:spacing w:after="360" w:afterLines="150" w:line="480" w:lineRule="auto"/>
        <w:ind w:firstLine="627" w:firstLineChars="196"/>
        <w:rPr>
          <w:rFonts w:ascii="宋体" w:hAnsi="宋体"/>
          <w:color w:val="auto"/>
          <w:sz w:val="32"/>
          <w:szCs w:val="32"/>
          <w:highlight w:val="none"/>
          <w:u w:val="single"/>
        </w:rPr>
      </w:pPr>
      <w:r>
        <w:rPr>
          <w:rFonts w:hint="eastAsia" w:ascii="宋体" w:hAnsi="宋体"/>
          <w:color w:val="auto"/>
          <w:sz w:val="32"/>
          <w:szCs w:val="32"/>
          <w:highlight w:val="none"/>
        </w:rPr>
        <w:t>工程名称：</w:t>
      </w:r>
      <w:r>
        <w:rPr>
          <w:rFonts w:hint="eastAsia" w:ascii="宋体" w:hAnsi="宋体"/>
          <w:color w:val="auto"/>
          <w:sz w:val="32"/>
          <w:szCs w:val="32"/>
          <w:highlight w:val="none"/>
          <w:u w:val="single"/>
        </w:rPr>
        <w:t xml:space="preserve">                                  </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投标文件内容：</w:t>
      </w:r>
      <w:r>
        <w:rPr>
          <w:rFonts w:hint="eastAsia" w:ascii="宋体" w:hAnsi="宋体"/>
          <w:color w:val="auto"/>
          <w:sz w:val="32"/>
          <w:szCs w:val="32"/>
          <w:highlight w:val="none"/>
          <w:u w:val="single"/>
        </w:rPr>
        <w:t xml:space="preserve">      投标文件技术标          </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投标人：</w:t>
      </w:r>
      <w:r>
        <w:rPr>
          <w:rFonts w:hint="eastAsia" w:ascii="宋体" w:hAnsi="宋体"/>
          <w:color w:val="auto"/>
          <w:sz w:val="32"/>
          <w:szCs w:val="32"/>
          <w:highlight w:val="none"/>
          <w:u w:val="single"/>
        </w:rPr>
        <w:t xml:space="preserve">                         （单位盖章）</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法定代表人或委托代理人：</w:t>
      </w:r>
      <w:r>
        <w:rPr>
          <w:rFonts w:hint="eastAsia" w:ascii="宋体" w:hAnsi="宋体"/>
          <w:color w:val="auto"/>
          <w:sz w:val="32"/>
          <w:szCs w:val="32"/>
          <w:highlight w:val="none"/>
          <w:u w:val="single"/>
        </w:rPr>
        <w:t xml:space="preserve">         （</w:t>
      </w:r>
      <w:r>
        <w:rPr>
          <w:rFonts w:hint="eastAsia" w:ascii="宋体" w:hAnsi="宋体"/>
          <w:color w:val="auto"/>
          <w:highlight w:val="none"/>
          <w:u w:val="single"/>
        </w:rPr>
        <w:t>签字或盖章</w:t>
      </w:r>
      <w:r>
        <w:rPr>
          <w:rFonts w:hint="eastAsia" w:ascii="宋体" w:hAnsi="宋体"/>
          <w:color w:val="auto"/>
          <w:sz w:val="32"/>
          <w:szCs w:val="32"/>
          <w:highlight w:val="none"/>
          <w:u w:val="single"/>
        </w:rPr>
        <w:t>）</w:t>
      </w:r>
    </w:p>
    <w:p>
      <w:pPr>
        <w:spacing w:after="360" w:afterLines="150" w:line="480" w:lineRule="auto"/>
        <w:ind w:firstLine="627" w:firstLineChars="196"/>
        <w:jc w:val="center"/>
        <w:rPr>
          <w:color w:val="auto"/>
          <w:sz w:val="32"/>
          <w:szCs w:val="32"/>
          <w:highlight w:val="none"/>
        </w:rPr>
      </w:pPr>
      <w:r>
        <w:rPr>
          <w:rFonts w:hint="eastAsia" w:ascii="宋体" w:hAnsi="宋体"/>
          <w:color w:val="auto"/>
          <w:sz w:val="32"/>
          <w:szCs w:val="32"/>
          <w:highlight w:val="none"/>
        </w:rPr>
        <w:t>日期：    年  月  日</w:t>
      </w:r>
    </w:p>
    <w:p>
      <w:pPr>
        <w:widowControl/>
        <w:spacing w:before="100" w:beforeAutospacing="1" w:after="100" w:afterAutospacing="1" w:line="360" w:lineRule="auto"/>
        <w:rPr>
          <w:rFonts w:ascii="宋体" w:hAnsi="宋体" w:cs="Microsoft JhengHei"/>
          <w:b/>
          <w:bCs/>
          <w:color w:val="auto"/>
          <w:sz w:val="20"/>
          <w:szCs w:val="20"/>
          <w:highlight w:val="none"/>
        </w:rPr>
      </w:pPr>
    </w:p>
    <w:p>
      <w:pPr>
        <w:pStyle w:val="15"/>
        <w:spacing w:line="360" w:lineRule="auto"/>
        <w:ind w:firstLine="602"/>
        <w:jc w:val="center"/>
        <w:rPr>
          <w:b/>
          <w:bCs/>
          <w:color w:val="auto"/>
          <w:sz w:val="36"/>
          <w:szCs w:val="36"/>
          <w:highlight w:val="none"/>
        </w:rPr>
      </w:pPr>
      <w:r>
        <w:rPr>
          <w:color w:val="auto"/>
          <w:highlight w:val="none"/>
        </w:rPr>
        <w:br w:type="page"/>
      </w:r>
      <w:r>
        <w:rPr>
          <w:rFonts w:hint="eastAsia" w:hAnsi="宋体"/>
          <w:b/>
          <w:bCs/>
          <w:color w:val="auto"/>
          <w:sz w:val="36"/>
          <w:szCs w:val="36"/>
          <w:highlight w:val="none"/>
        </w:rPr>
        <w:t>目录</w:t>
      </w:r>
    </w:p>
    <w:p>
      <w:pPr>
        <w:pStyle w:val="17"/>
        <w:rPr>
          <w:color w:val="auto"/>
          <w:highlight w:val="none"/>
        </w:rPr>
      </w:pPr>
    </w:p>
    <w:p>
      <w:pPr>
        <w:autoSpaceDN/>
        <w:spacing w:after="360" w:afterLines="150"/>
        <w:ind w:firstLine="560" w:firstLineChars="200"/>
        <w:jc w:val="both"/>
        <w:rPr>
          <w:color w:val="auto"/>
          <w:sz w:val="28"/>
          <w:szCs w:val="28"/>
          <w:highlight w:val="none"/>
        </w:rPr>
      </w:pPr>
      <w:r>
        <w:rPr>
          <w:rFonts w:hint="eastAsia" w:ascii="宋体" w:hAnsi="宋体"/>
          <w:color w:val="auto"/>
          <w:sz w:val="28"/>
          <w:szCs w:val="28"/>
          <w:highlight w:val="none"/>
        </w:rPr>
        <w:t>一、施工组织设计</w:t>
      </w:r>
    </w:p>
    <w:p>
      <w:pPr>
        <w:autoSpaceDN/>
        <w:spacing w:after="360" w:afterLines="150"/>
        <w:ind w:firstLine="560" w:firstLineChars="200"/>
        <w:jc w:val="both"/>
        <w:rPr>
          <w:strike/>
          <w:color w:val="auto"/>
          <w:sz w:val="28"/>
          <w:szCs w:val="28"/>
          <w:highlight w:val="none"/>
        </w:rPr>
      </w:pPr>
      <w:r>
        <w:rPr>
          <w:rFonts w:hint="eastAsia" w:ascii="宋体" w:hAnsi="宋体"/>
          <w:bCs/>
          <w:strike/>
          <w:color w:val="auto"/>
          <w:sz w:val="28"/>
          <w:szCs w:val="28"/>
          <w:highlight w:val="none"/>
        </w:rPr>
        <w:t>二、</w:t>
      </w:r>
      <w:r>
        <w:rPr>
          <w:rFonts w:ascii="宋体" w:hAnsi="宋体" w:cs="宋体"/>
          <w:bCs/>
          <w:strike/>
          <w:color w:val="auto"/>
          <w:sz w:val="28"/>
          <w:szCs w:val="28"/>
          <w:highlight w:val="none"/>
        </w:rPr>
        <w:t>针对本工程招标人特殊要求的技术措施</w:t>
      </w:r>
    </w:p>
    <w:p>
      <w:pPr>
        <w:autoSpaceDN/>
        <w:spacing w:after="360" w:afterLines="150"/>
        <w:ind w:firstLine="560" w:firstLineChars="200"/>
        <w:jc w:val="both"/>
        <w:rPr>
          <w:color w:val="auto"/>
          <w:sz w:val="28"/>
          <w:szCs w:val="28"/>
          <w:highlight w:val="none"/>
        </w:rPr>
      </w:pPr>
      <w:r>
        <w:rPr>
          <w:rFonts w:hint="eastAsia" w:ascii="宋体" w:hAnsi="宋体"/>
          <w:color w:val="auto"/>
          <w:sz w:val="28"/>
          <w:szCs w:val="28"/>
          <w:highlight w:val="none"/>
        </w:rPr>
        <w:t>三、项目管理班子配备情况</w:t>
      </w:r>
    </w:p>
    <w:p>
      <w:pPr>
        <w:autoSpaceDN/>
        <w:spacing w:after="360" w:afterLines="150"/>
        <w:ind w:firstLine="560" w:firstLineChars="200"/>
        <w:jc w:val="both"/>
        <w:rPr>
          <w:strike/>
          <w:color w:val="auto"/>
          <w:sz w:val="28"/>
          <w:szCs w:val="28"/>
          <w:highlight w:val="none"/>
        </w:rPr>
      </w:pPr>
      <w:r>
        <w:rPr>
          <w:rFonts w:hint="eastAsia" w:ascii="宋体" w:hAnsi="宋体"/>
          <w:strike/>
          <w:color w:val="auto"/>
          <w:sz w:val="28"/>
          <w:szCs w:val="28"/>
          <w:highlight w:val="none"/>
        </w:rPr>
        <w:t>四、拟分包项目名称和分包商情况</w:t>
      </w:r>
    </w:p>
    <w:p>
      <w:pPr>
        <w:autoSpaceDN/>
        <w:spacing w:after="360" w:afterLines="150"/>
        <w:ind w:firstLine="560" w:firstLineChars="200"/>
        <w:jc w:val="both"/>
        <w:rPr>
          <w:color w:val="auto"/>
          <w:sz w:val="28"/>
          <w:szCs w:val="28"/>
          <w:highlight w:val="none"/>
        </w:rPr>
      </w:pPr>
      <w:r>
        <w:rPr>
          <w:rFonts w:hint="eastAsia" w:ascii="宋体" w:hAnsi="宋体"/>
          <w:color w:val="auto"/>
          <w:sz w:val="28"/>
          <w:szCs w:val="28"/>
          <w:highlight w:val="none"/>
        </w:rPr>
        <w:t>五、招标人要求提交的其他资料</w:t>
      </w:r>
    </w:p>
    <w:p>
      <w:pPr>
        <w:spacing w:after="360" w:afterLines="150"/>
        <w:rPr>
          <w:color w:val="auto"/>
          <w:sz w:val="28"/>
          <w:szCs w:val="28"/>
          <w:highlight w:val="none"/>
        </w:rPr>
      </w:pPr>
    </w:p>
    <w:p>
      <w:pPr>
        <w:spacing w:after="360" w:afterLines="150"/>
        <w:rPr>
          <w:color w:val="auto"/>
          <w:highlight w:val="none"/>
        </w:rPr>
      </w:pPr>
    </w:p>
    <w:p>
      <w:pPr>
        <w:spacing w:after="360" w:afterLines="150"/>
        <w:rPr>
          <w:color w:val="auto"/>
          <w:highlight w:val="none"/>
        </w:rPr>
      </w:pPr>
    </w:p>
    <w:p>
      <w:pPr>
        <w:spacing w:after="360" w:afterLines="150"/>
        <w:rPr>
          <w:color w:val="auto"/>
          <w:highlight w:val="none"/>
        </w:rPr>
      </w:pPr>
    </w:p>
    <w:p>
      <w:pPr>
        <w:spacing w:after="360" w:afterLines="150"/>
        <w:rPr>
          <w:color w:val="auto"/>
          <w:highlight w:val="none"/>
        </w:rPr>
      </w:pPr>
    </w:p>
    <w:p>
      <w:pPr>
        <w:spacing w:after="360" w:afterLines="150"/>
        <w:rPr>
          <w:color w:val="auto"/>
          <w:highlight w:val="none"/>
        </w:rPr>
      </w:pPr>
    </w:p>
    <w:p>
      <w:pPr>
        <w:autoSpaceDN/>
        <w:jc w:val="center"/>
        <w:rPr>
          <w:b/>
          <w:bCs/>
          <w:color w:val="auto"/>
          <w:sz w:val="36"/>
          <w:szCs w:val="36"/>
          <w:highlight w:val="none"/>
        </w:rPr>
      </w:pPr>
      <w:r>
        <w:rPr>
          <w:color w:val="auto"/>
          <w:sz w:val="32"/>
          <w:szCs w:val="32"/>
          <w:highlight w:val="none"/>
        </w:rPr>
        <w:br w:type="page"/>
      </w:r>
      <w:r>
        <w:rPr>
          <w:rFonts w:hint="eastAsia" w:ascii="宋体" w:hAnsi="宋体"/>
          <w:color w:val="auto"/>
          <w:sz w:val="32"/>
          <w:szCs w:val="32"/>
          <w:highlight w:val="none"/>
        </w:rPr>
        <w:t>一、</w:t>
      </w:r>
      <w:r>
        <w:rPr>
          <w:rFonts w:hint="eastAsia" w:ascii="宋体" w:hAnsi="宋体"/>
          <w:b/>
          <w:bCs/>
          <w:color w:val="auto"/>
          <w:sz w:val="36"/>
          <w:szCs w:val="36"/>
          <w:highlight w:val="none"/>
        </w:rPr>
        <w:t>施工组织设计</w:t>
      </w:r>
    </w:p>
    <w:p>
      <w:pPr>
        <w:pStyle w:val="29"/>
        <w:rPr>
          <w:color w:val="auto"/>
          <w:highlight w:val="none"/>
        </w:rPr>
      </w:pPr>
    </w:p>
    <w:p>
      <w:pPr>
        <w:numPr>
          <w:ilvl w:val="1"/>
          <w:numId w:val="59"/>
        </w:numPr>
        <w:autoSpaceDN/>
        <w:snapToGrid w:val="0"/>
        <w:spacing w:line="360" w:lineRule="auto"/>
        <w:ind w:left="0" w:firstLine="480" w:firstLineChars="200"/>
        <w:rPr>
          <w:rFonts w:ascii="宋体" w:hAnsi="宋体"/>
          <w:color w:val="auto"/>
          <w:highlight w:val="none"/>
        </w:rPr>
      </w:pPr>
      <w:r>
        <w:rPr>
          <w:rFonts w:hint="eastAsia" w:ascii="宋体" w:hAnsi="宋体"/>
          <w:color w:val="auto"/>
          <w:highlight w:val="none"/>
        </w:rPr>
        <w:t>投标人应编制递交完整的施工组织设计。编制具体要求是：编制时应采用文字并结合图表阐述说明各分部分项工程的施工方法；施工机械设备、劳动力、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numPr>
          <w:ilvl w:val="1"/>
          <w:numId w:val="59"/>
        </w:numPr>
        <w:autoSpaceDN/>
        <w:snapToGrid w:val="0"/>
        <w:spacing w:line="360" w:lineRule="auto"/>
        <w:ind w:left="0" w:firstLine="480" w:firstLineChars="200"/>
        <w:rPr>
          <w:rFonts w:ascii="宋体" w:hAnsi="宋体"/>
          <w:color w:val="auto"/>
          <w:highlight w:val="none"/>
        </w:rPr>
      </w:pPr>
      <w:r>
        <w:rPr>
          <w:rFonts w:hint="eastAsia" w:ascii="宋体" w:hAnsi="宋体"/>
          <w:color w:val="auto"/>
          <w:highlight w:val="none"/>
        </w:rPr>
        <w:t>施工组织设计除采用文字表述外应附下列图表，图表及格式要求附后。</w:t>
      </w:r>
    </w:p>
    <w:p>
      <w:pPr>
        <w:autoSpaceDN/>
        <w:spacing w:line="360" w:lineRule="auto"/>
        <w:ind w:left="539"/>
        <w:rPr>
          <w:rFonts w:ascii="宋体" w:hAnsi="宋体"/>
          <w:color w:val="auto"/>
          <w:highlight w:val="none"/>
        </w:rPr>
      </w:pPr>
    </w:p>
    <w:p>
      <w:pPr>
        <w:autoSpaceDN/>
        <w:spacing w:line="360" w:lineRule="auto"/>
        <w:ind w:left="539"/>
        <w:rPr>
          <w:rFonts w:ascii="宋体" w:hAnsi="宋体"/>
          <w:color w:val="auto"/>
          <w:highlight w:val="none"/>
        </w:rPr>
      </w:pPr>
      <w:r>
        <w:rPr>
          <w:rFonts w:hint="eastAsia" w:ascii="宋体" w:hAnsi="宋体"/>
          <w:color w:val="auto"/>
          <w:highlight w:val="none"/>
        </w:rPr>
        <w:t>表1  拟投入的主要施工机械设备表；</w:t>
      </w:r>
    </w:p>
    <w:p>
      <w:pPr>
        <w:autoSpaceDN/>
        <w:spacing w:line="360" w:lineRule="auto"/>
        <w:ind w:left="539"/>
        <w:rPr>
          <w:rFonts w:ascii="宋体" w:hAnsi="宋体"/>
          <w:color w:val="auto"/>
          <w:highlight w:val="none"/>
        </w:rPr>
      </w:pPr>
    </w:p>
    <w:p>
      <w:pPr>
        <w:autoSpaceDN/>
        <w:spacing w:line="360" w:lineRule="auto"/>
        <w:ind w:left="539"/>
        <w:rPr>
          <w:rFonts w:ascii="宋体" w:hAnsi="宋体"/>
          <w:color w:val="auto"/>
          <w:highlight w:val="none"/>
        </w:rPr>
      </w:pPr>
      <w:r>
        <w:rPr>
          <w:rFonts w:hint="eastAsia" w:ascii="宋体" w:hAnsi="宋体"/>
          <w:color w:val="auto"/>
          <w:highlight w:val="none"/>
        </w:rPr>
        <w:t>表2  劳动力计划表</w:t>
      </w:r>
    </w:p>
    <w:p>
      <w:pPr>
        <w:autoSpaceDN/>
        <w:spacing w:line="360" w:lineRule="auto"/>
        <w:ind w:left="539"/>
        <w:rPr>
          <w:rFonts w:ascii="宋体" w:hAnsi="宋体"/>
          <w:color w:val="auto"/>
          <w:highlight w:val="none"/>
        </w:rPr>
      </w:pPr>
    </w:p>
    <w:p>
      <w:pPr>
        <w:autoSpaceDN/>
        <w:spacing w:line="360" w:lineRule="auto"/>
        <w:ind w:left="539"/>
        <w:rPr>
          <w:rFonts w:ascii="宋体" w:hAnsi="宋体"/>
          <w:color w:val="auto"/>
          <w:highlight w:val="none"/>
        </w:rPr>
      </w:pPr>
      <w:r>
        <w:rPr>
          <w:rFonts w:hint="eastAsia" w:ascii="宋体" w:hAnsi="宋体"/>
          <w:color w:val="auto"/>
          <w:highlight w:val="none"/>
        </w:rPr>
        <w:t>表3  计划开、竣工日期和施工进度网络图；</w:t>
      </w:r>
    </w:p>
    <w:p>
      <w:pPr>
        <w:autoSpaceDN/>
        <w:spacing w:line="360" w:lineRule="auto"/>
        <w:ind w:left="539"/>
        <w:rPr>
          <w:rFonts w:ascii="宋体" w:hAnsi="宋体"/>
          <w:color w:val="auto"/>
          <w:highlight w:val="none"/>
        </w:rPr>
      </w:pPr>
    </w:p>
    <w:p>
      <w:pPr>
        <w:autoSpaceDN/>
        <w:spacing w:line="360" w:lineRule="auto"/>
        <w:ind w:left="539"/>
        <w:rPr>
          <w:rFonts w:ascii="宋体" w:hAnsi="宋体"/>
          <w:color w:val="auto"/>
          <w:highlight w:val="none"/>
        </w:rPr>
      </w:pPr>
      <w:r>
        <w:rPr>
          <w:rFonts w:hint="eastAsia" w:ascii="宋体" w:hAnsi="宋体"/>
          <w:color w:val="auto"/>
          <w:highlight w:val="none"/>
        </w:rPr>
        <w:t>表4  施工总平面布置图及临时用地表；</w:t>
      </w:r>
    </w:p>
    <w:p>
      <w:pPr>
        <w:spacing w:line="360" w:lineRule="auto"/>
        <w:jc w:val="center"/>
        <w:rPr>
          <w:rFonts w:ascii="宋体" w:hAnsi="宋体"/>
          <w:b/>
          <w:bCs/>
          <w:color w:val="auto"/>
          <w:highlight w:val="none"/>
        </w:rPr>
      </w:pPr>
      <w:r>
        <w:rPr>
          <w:rFonts w:hint="eastAsia" w:ascii="宋体" w:hAnsi="宋体"/>
          <w:color w:val="auto"/>
          <w:highlight w:val="none"/>
        </w:rPr>
        <w:br w:type="page"/>
      </w:r>
      <w:r>
        <w:rPr>
          <w:rFonts w:hint="eastAsia" w:ascii="宋体" w:hAnsi="宋体"/>
          <w:b/>
          <w:bCs/>
          <w:color w:val="auto"/>
          <w:highlight w:val="none"/>
        </w:rPr>
        <w:t>表1  拟投入的主要施工机械设备表</w:t>
      </w:r>
    </w:p>
    <w:tbl>
      <w:tblPr>
        <w:tblStyle w:val="18"/>
        <w:tblW w:w="830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244"/>
        <w:gridCol w:w="842"/>
        <w:gridCol w:w="842"/>
        <w:gridCol w:w="843"/>
        <w:gridCol w:w="905"/>
        <w:gridCol w:w="1206"/>
        <w:gridCol w:w="843"/>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序号</w:t>
            </w:r>
          </w:p>
        </w:tc>
        <w:tc>
          <w:tcPr>
            <w:tcW w:w="1244"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机械或</w:t>
            </w:r>
          </w:p>
          <w:p>
            <w:pPr>
              <w:jc w:val="center"/>
              <w:rPr>
                <w:color w:val="auto"/>
                <w:highlight w:val="none"/>
              </w:rPr>
            </w:pPr>
            <w:r>
              <w:rPr>
                <w:rFonts w:hint="eastAsia"/>
                <w:color w:val="auto"/>
                <w:highlight w:val="none"/>
              </w:rPr>
              <w:t>设备名称</w:t>
            </w:r>
          </w:p>
        </w:tc>
        <w:tc>
          <w:tcPr>
            <w:tcW w:w="842"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型号</w:t>
            </w:r>
          </w:p>
          <w:p>
            <w:pPr>
              <w:jc w:val="center"/>
              <w:rPr>
                <w:color w:val="auto"/>
                <w:highlight w:val="none"/>
              </w:rPr>
            </w:pPr>
            <w:r>
              <w:rPr>
                <w:rFonts w:hint="eastAsia"/>
                <w:color w:val="auto"/>
                <w:highlight w:val="none"/>
              </w:rPr>
              <w:t>规格</w:t>
            </w:r>
          </w:p>
        </w:tc>
        <w:tc>
          <w:tcPr>
            <w:tcW w:w="842"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数量</w:t>
            </w:r>
          </w:p>
        </w:tc>
        <w:tc>
          <w:tcPr>
            <w:tcW w:w="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国别</w:t>
            </w:r>
          </w:p>
          <w:p>
            <w:pPr>
              <w:jc w:val="center"/>
              <w:rPr>
                <w:color w:val="auto"/>
                <w:highlight w:val="none"/>
              </w:rPr>
            </w:pPr>
            <w:r>
              <w:rPr>
                <w:rFonts w:hint="eastAsia"/>
                <w:color w:val="auto"/>
                <w:highlight w:val="none"/>
              </w:rPr>
              <w:t>产地</w:t>
            </w:r>
          </w:p>
        </w:tc>
        <w:tc>
          <w:tcPr>
            <w:tcW w:w="90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制造</w:t>
            </w:r>
          </w:p>
          <w:p>
            <w:pPr>
              <w:jc w:val="center"/>
              <w:rPr>
                <w:color w:val="auto"/>
                <w:highlight w:val="none"/>
              </w:rPr>
            </w:pPr>
            <w:r>
              <w:rPr>
                <w:rFonts w:hint="eastAsia"/>
                <w:color w:val="auto"/>
                <w:highlight w:val="none"/>
              </w:rPr>
              <w:t>年份</w:t>
            </w:r>
          </w:p>
        </w:tc>
        <w:tc>
          <w:tcPr>
            <w:tcW w:w="1206"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额定功率（</w:t>
            </w:r>
            <w:r>
              <w:rPr>
                <w:color w:val="auto"/>
                <w:highlight w:val="none"/>
              </w:rPr>
              <w:t>KW</w:t>
            </w:r>
            <w:r>
              <w:rPr>
                <w:rFonts w:hint="eastAsia"/>
                <w:color w:val="auto"/>
                <w:highlight w:val="none"/>
              </w:rPr>
              <w:t>）</w:t>
            </w:r>
          </w:p>
        </w:tc>
        <w:tc>
          <w:tcPr>
            <w:tcW w:w="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生产</w:t>
            </w:r>
          </w:p>
          <w:p>
            <w:pPr>
              <w:jc w:val="center"/>
              <w:rPr>
                <w:color w:val="auto"/>
                <w:highlight w:val="none"/>
              </w:rPr>
            </w:pPr>
            <w:r>
              <w:rPr>
                <w:rFonts w:hint="eastAsia"/>
                <w:color w:val="auto"/>
                <w:highlight w:val="none"/>
              </w:rPr>
              <w:t>能力</w:t>
            </w:r>
          </w:p>
        </w:tc>
        <w:tc>
          <w:tcPr>
            <w:tcW w:w="108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用于施工部位备注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tcBorders>
              <w:top w:val="single" w:color="auto" w:sz="4" w:space="0"/>
              <w:left w:val="single" w:color="auto" w:sz="4" w:space="0"/>
              <w:bottom w:val="single" w:color="auto" w:sz="4" w:space="0"/>
              <w:right w:val="single" w:color="auto" w:sz="4" w:space="0"/>
            </w:tcBorders>
          </w:tcPr>
          <w:p>
            <w:pPr>
              <w:spacing w:after="360" w:afterLines="150"/>
              <w:rPr>
                <w:color w:val="auto"/>
                <w:highlight w:val="none"/>
              </w:rPr>
            </w:pPr>
          </w:p>
        </w:tc>
        <w:tc>
          <w:tcPr>
            <w:tcW w:w="1244"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2"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90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206"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843" w:type="dxa"/>
            <w:tcBorders>
              <w:top w:val="single" w:color="auto" w:sz="4" w:space="0"/>
              <w:left w:val="nil"/>
              <w:bottom w:val="single" w:color="auto" w:sz="4" w:space="0"/>
              <w:right w:val="single" w:color="auto" w:sz="4" w:space="0"/>
            </w:tcBorders>
          </w:tcPr>
          <w:p>
            <w:pPr>
              <w:spacing w:after="360" w:afterLines="150"/>
              <w:rPr>
                <w:color w:val="auto"/>
                <w:highlight w:val="none"/>
              </w:rPr>
            </w:pPr>
          </w:p>
        </w:tc>
        <w:tc>
          <w:tcPr>
            <w:tcW w:w="1085" w:type="dxa"/>
            <w:tcBorders>
              <w:top w:val="single" w:color="auto" w:sz="4" w:space="0"/>
              <w:left w:val="nil"/>
              <w:bottom w:val="single" w:color="auto" w:sz="4" w:space="0"/>
              <w:right w:val="single" w:color="auto" w:sz="4" w:space="0"/>
            </w:tcBorders>
          </w:tcPr>
          <w:p>
            <w:pPr>
              <w:spacing w:after="360" w:afterLines="150"/>
              <w:rPr>
                <w:color w:val="auto"/>
                <w:highlight w:val="none"/>
              </w:rPr>
            </w:pPr>
          </w:p>
        </w:tc>
      </w:tr>
    </w:tbl>
    <w:p>
      <w:pPr>
        <w:spacing w:after="360" w:afterLines="150"/>
        <w:ind w:left="627" w:firstLine="842" w:firstLineChars="351"/>
        <w:rPr>
          <w:color w:val="auto"/>
          <w:highlight w:val="none"/>
        </w:rPr>
      </w:pPr>
    </w:p>
    <w:p>
      <w:pPr>
        <w:spacing w:after="360" w:afterLines="150"/>
        <w:ind w:left="627" w:firstLine="842" w:firstLineChars="351"/>
        <w:rPr>
          <w:color w:val="auto"/>
          <w:highlight w:val="none"/>
        </w:rPr>
      </w:pPr>
    </w:p>
    <w:p>
      <w:pPr>
        <w:spacing w:line="360" w:lineRule="auto"/>
        <w:ind w:firstLine="3017" w:firstLineChars="1252"/>
        <w:rPr>
          <w:rFonts w:ascii="宋体" w:hAnsi="宋体"/>
          <w:b/>
          <w:bCs/>
          <w:color w:val="auto"/>
          <w:highlight w:val="none"/>
        </w:rPr>
      </w:pPr>
      <w:r>
        <w:rPr>
          <w:rFonts w:hAnsi="宋体" w:cs="宋体"/>
          <w:b/>
          <w:bCs/>
          <w:color w:val="auto"/>
          <w:highlight w:val="none"/>
        </w:rPr>
        <w:br w:type="page"/>
      </w:r>
      <w:r>
        <w:rPr>
          <w:rFonts w:hint="eastAsia" w:ascii="宋体" w:hAnsi="宋体"/>
          <w:b/>
          <w:bCs/>
          <w:color w:val="auto"/>
          <w:highlight w:val="none"/>
        </w:rPr>
        <w:t>表2  劳动力计划表</w:t>
      </w:r>
    </w:p>
    <w:p>
      <w:pPr>
        <w:spacing w:after="120" w:afterLines="50"/>
        <w:ind w:left="629" w:right="480"/>
        <w:jc w:val="right"/>
        <w:rPr>
          <w:color w:val="auto"/>
          <w:highlight w:val="none"/>
        </w:rPr>
      </w:pPr>
      <w:r>
        <w:rPr>
          <w:rFonts w:hint="eastAsia" w:ascii="宋体" w:hAnsi="宋体"/>
          <w:color w:val="auto"/>
          <w:highlight w:val="none"/>
        </w:rPr>
        <w:t>单位：人</w:t>
      </w:r>
    </w:p>
    <w:tbl>
      <w:tblPr>
        <w:tblStyle w:val="18"/>
        <w:tblW w:w="83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50"/>
        <w:gridCol w:w="1050"/>
        <w:gridCol w:w="1049"/>
        <w:gridCol w:w="1049"/>
        <w:gridCol w:w="1049"/>
        <w:gridCol w:w="10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050" w:type="dxa"/>
            <w:vMerge w:val="restart"/>
            <w:tcBorders>
              <w:top w:val="single" w:color="auto" w:sz="4" w:space="0"/>
              <w:left w:val="single" w:color="auto" w:sz="4" w:space="0"/>
              <w:bottom w:val="single" w:color="auto" w:sz="4" w:space="0"/>
              <w:right w:val="single" w:color="auto" w:sz="4" w:space="0"/>
            </w:tcBorders>
          </w:tcPr>
          <w:p>
            <w:pPr>
              <w:rPr>
                <w:color w:val="auto"/>
                <w:highlight w:val="none"/>
              </w:rPr>
            </w:pPr>
          </w:p>
        </w:tc>
        <w:tc>
          <w:tcPr>
            <w:tcW w:w="7345" w:type="dxa"/>
            <w:gridSpan w:val="7"/>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50"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50"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c>
          <w:tcPr>
            <w:tcW w:w="1049" w:type="dxa"/>
            <w:tcBorders>
              <w:top w:val="single" w:color="auto" w:sz="4" w:space="0"/>
              <w:left w:val="nil"/>
              <w:bottom w:val="single" w:color="auto" w:sz="4" w:space="0"/>
              <w:right w:val="single" w:color="auto" w:sz="4" w:space="0"/>
            </w:tcBorders>
          </w:tcPr>
          <w:p>
            <w:pPr>
              <w:rPr>
                <w:color w:val="auto"/>
                <w:highlight w:val="none"/>
              </w:rPr>
            </w:pPr>
          </w:p>
        </w:tc>
      </w:tr>
    </w:tbl>
    <w:p>
      <w:pPr>
        <w:ind w:left="629"/>
        <w:rPr>
          <w:color w:val="auto"/>
          <w:highlight w:val="none"/>
        </w:rPr>
      </w:pPr>
    </w:p>
    <w:p>
      <w:pPr>
        <w:ind w:left="629"/>
        <w:rPr>
          <w:color w:val="auto"/>
          <w:highlight w:val="none"/>
        </w:rPr>
      </w:pPr>
      <w:r>
        <w:rPr>
          <w:rFonts w:hint="eastAsia" w:ascii="宋体" w:hAnsi="宋体"/>
          <w:color w:val="auto"/>
          <w:highlight w:val="none"/>
        </w:rPr>
        <w:t>注：投标人应按所列格式提交包括分包在内的劳动力计划表。</w:t>
      </w:r>
    </w:p>
    <w:p>
      <w:pPr>
        <w:ind w:left="629" w:firstLine="525" w:firstLineChars="219"/>
        <w:rPr>
          <w:color w:val="auto"/>
          <w:highlight w:val="none"/>
        </w:rPr>
      </w:pPr>
      <w:r>
        <w:rPr>
          <w:rFonts w:hint="eastAsia" w:ascii="宋体" w:hAnsi="宋体"/>
          <w:color w:val="auto"/>
          <w:highlight w:val="none"/>
        </w:rPr>
        <w:t>本计划表是以每班八小时工作制为基础的。</w:t>
      </w:r>
    </w:p>
    <w:p>
      <w:pPr>
        <w:ind w:left="629" w:firstLine="525" w:firstLineChars="219"/>
        <w:rPr>
          <w:color w:val="auto"/>
          <w:highlight w:val="none"/>
        </w:rPr>
      </w:pPr>
    </w:p>
    <w:p>
      <w:pPr>
        <w:spacing w:after="360" w:afterLines="150"/>
        <w:rPr>
          <w:color w:val="auto"/>
          <w:highlight w:val="none"/>
        </w:rPr>
      </w:pPr>
    </w:p>
    <w:p>
      <w:pPr>
        <w:pStyle w:val="2"/>
        <w:rPr>
          <w:color w:val="auto"/>
          <w:highlight w:val="none"/>
        </w:rPr>
      </w:pPr>
    </w:p>
    <w:p>
      <w:pPr>
        <w:spacing w:after="360" w:afterLines="150"/>
        <w:rPr>
          <w:color w:val="auto"/>
          <w:highlight w:val="none"/>
        </w:rPr>
      </w:pPr>
    </w:p>
    <w:p>
      <w:pPr>
        <w:spacing w:after="360" w:afterLines="150"/>
        <w:ind w:left="538" w:leftChars="224" w:firstLine="1448" w:firstLineChars="601"/>
        <w:rPr>
          <w:rFonts w:ascii="宋体" w:hAnsi="宋体"/>
          <w:b/>
          <w:bCs/>
          <w:color w:val="auto"/>
          <w:highlight w:val="none"/>
        </w:rPr>
      </w:pPr>
      <w:r>
        <w:rPr>
          <w:rFonts w:hint="eastAsia" w:ascii="宋体" w:hAnsi="宋体"/>
          <w:b/>
          <w:bCs/>
          <w:color w:val="auto"/>
          <w:highlight w:val="none"/>
        </w:rPr>
        <w:t>表3 计划开、竣工日期和施工进度网络图</w:t>
      </w:r>
    </w:p>
    <w:p>
      <w:pPr>
        <w:spacing w:line="360" w:lineRule="auto"/>
        <w:ind w:firstLine="480" w:firstLineChars="200"/>
        <w:rPr>
          <w:rFonts w:hAnsi="宋体" w:cs="宋体"/>
          <w:color w:val="auto"/>
          <w:highlight w:val="none"/>
        </w:rPr>
      </w:pPr>
      <w:r>
        <w:rPr>
          <w:rFonts w:hint="eastAsia" w:ascii="宋体" w:hAnsi="宋体"/>
          <w:color w:val="auto"/>
          <w:highlight w:val="none"/>
        </w:rPr>
        <w:t>投标人应提交的施工进度网络图或施工进度表，说明按招标文件要求的工期进行施工的各个关键日期。中标的投标人还要按合同条件有关条款的要求提交详细的施工进度计划。</w:t>
      </w:r>
    </w:p>
    <w:p>
      <w:pPr>
        <w:spacing w:line="360" w:lineRule="auto"/>
        <w:ind w:firstLine="480" w:firstLineChars="200"/>
        <w:rPr>
          <w:rFonts w:hAnsi="宋体" w:cs="宋体"/>
          <w:color w:val="auto"/>
          <w:highlight w:val="none"/>
        </w:rPr>
      </w:pPr>
      <w:r>
        <w:rPr>
          <w:rFonts w:hint="eastAsia" w:ascii="宋体" w:hAnsi="宋体"/>
          <w:color w:val="auto"/>
          <w:highlight w:val="none"/>
        </w:rPr>
        <w:t>施工进度表可采用关键线路网络图（或横道图）表示，说明计划开工日期和各分项工程各阶段的完工日期和分包合同签订的日期。</w:t>
      </w:r>
    </w:p>
    <w:p>
      <w:pPr>
        <w:spacing w:line="360" w:lineRule="auto"/>
        <w:ind w:firstLine="480" w:firstLineChars="200"/>
        <w:rPr>
          <w:rFonts w:hAnsi="宋体" w:cs="宋体"/>
          <w:color w:val="auto"/>
          <w:highlight w:val="none"/>
        </w:rPr>
      </w:pPr>
      <w:r>
        <w:rPr>
          <w:rFonts w:hint="eastAsia" w:ascii="宋体" w:hAnsi="宋体"/>
          <w:color w:val="auto"/>
          <w:highlight w:val="none"/>
        </w:rPr>
        <w:t>施工进度计划应与施工组织设计相适应。</w:t>
      </w:r>
    </w:p>
    <w:p>
      <w:pPr>
        <w:spacing w:after="360" w:afterLines="150"/>
        <w:ind w:left="627"/>
        <w:rPr>
          <w:color w:val="auto"/>
          <w:highlight w:val="none"/>
        </w:rPr>
      </w:pPr>
    </w:p>
    <w:p>
      <w:pPr>
        <w:spacing w:after="360" w:afterLines="150"/>
        <w:ind w:left="629"/>
        <w:jc w:val="center"/>
        <w:rPr>
          <w:rFonts w:ascii="宋体" w:hAnsi="宋体"/>
          <w:b/>
          <w:bCs/>
          <w:color w:val="auto"/>
          <w:highlight w:val="none"/>
        </w:rPr>
      </w:pPr>
      <w:r>
        <w:rPr>
          <w:color w:val="auto"/>
          <w:highlight w:val="none"/>
        </w:rPr>
        <w:br w:type="page"/>
      </w:r>
      <w:r>
        <w:rPr>
          <w:rFonts w:hint="eastAsia" w:ascii="宋体" w:hAnsi="宋体"/>
          <w:b/>
          <w:bCs/>
          <w:color w:val="auto"/>
          <w:highlight w:val="none"/>
        </w:rPr>
        <w:t>表4 施工总平面布置图及临时用地表</w:t>
      </w:r>
    </w:p>
    <w:p>
      <w:pPr>
        <w:numPr>
          <w:ilvl w:val="1"/>
          <w:numId w:val="60"/>
        </w:numPr>
        <w:autoSpaceDN/>
        <w:spacing w:line="360" w:lineRule="auto"/>
        <w:ind w:left="0" w:firstLine="480" w:firstLineChars="200"/>
        <w:jc w:val="both"/>
        <w:rPr>
          <w:rFonts w:hAnsi="宋体" w:cs="宋体"/>
          <w:color w:val="auto"/>
          <w:highlight w:val="none"/>
        </w:rPr>
      </w:pPr>
      <w:r>
        <w:rPr>
          <w:rFonts w:hint="eastAsia" w:ascii="宋体" w:hAnsi="宋体"/>
          <w:color w:val="auto"/>
          <w:highlight w:val="none"/>
        </w:rPr>
        <w:t>施工总平面布置图</w:t>
      </w:r>
    </w:p>
    <w:p>
      <w:pPr>
        <w:spacing w:line="360" w:lineRule="auto"/>
        <w:ind w:firstLine="480" w:firstLineChars="200"/>
        <w:rPr>
          <w:rFonts w:hAnsi="宋体" w:cs="宋体"/>
          <w:color w:val="auto"/>
          <w:highlight w:val="none"/>
        </w:rPr>
      </w:pPr>
      <w:r>
        <w:rPr>
          <w:rFonts w:hint="eastAsia" w:ascii="宋体" w:hAnsi="宋体"/>
          <w:color w:val="auto"/>
          <w:highlight w:val="none"/>
        </w:rPr>
        <w:t>投标人应提交一份施工总平面图，给出现场临时设施布置图表并附文字说明，说明临时设施、加工车间、现场办公、设备及仓储、供电、供水、卫生、生活等设施的情况和布置。</w:t>
      </w:r>
    </w:p>
    <w:p>
      <w:pPr>
        <w:numPr>
          <w:ilvl w:val="1"/>
          <w:numId w:val="60"/>
        </w:numPr>
        <w:autoSpaceDN/>
        <w:spacing w:line="360" w:lineRule="auto"/>
        <w:ind w:left="0" w:firstLine="480" w:firstLineChars="200"/>
        <w:jc w:val="both"/>
        <w:rPr>
          <w:rFonts w:hAnsi="宋体" w:cs="宋体"/>
          <w:color w:val="auto"/>
          <w:highlight w:val="none"/>
        </w:rPr>
      </w:pPr>
      <w:r>
        <w:rPr>
          <w:rFonts w:hint="eastAsia" w:ascii="宋体" w:hAnsi="宋体"/>
          <w:color w:val="auto"/>
          <w:highlight w:val="none"/>
        </w:rPr>
        <w:t>临时用地表</w:t>
      </w:r>
    </w:p>
    <w:tbl>
      <w:tblPr>
        <w:tblStyle w:val="18"/>
        <w:tblW w:w="783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2"/>
        <w:gridCol w:w="195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用途</w:t>
            </w:r>
          </w:p>
        </w:tc>
        <w:tc>
          <w:tcPr>
            <w:tcW w:w="1982"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面积（平方米）</w:t>
            </w:r>
          </w:p>
        </w:tc>
        <w:tc>
          <w:tcPr>
            <w:tcW w:w="195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位置</w:t>
            </w:r>
          </w:p>
        </w:tc>
        <w:tc>
          <w:tcPr>
            <w:tcW w:w="195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51" w:type="dxa"/>
            <w:tcBorders>
              <w:top w:val="single" w:color="auto" w:sz="4" w:space="0"/>
              <w:left w:val="single" w:color="auto" w:sz="4" w:space="0"/>
              <w:bottom w:val="single" w:color="auto" w:sz="4" w:space="0"/>
              <w:right w:val="single" w:color="auto" w:sz="4" w:space="0"/>
            </w:tcBorders>
          </w:tcPr>
          <w:p>
            <w:pPr>
              <w:rPr>
                <w:rFonts w:hAnsi="宋体" w:cs="宋体"/>
                <w:color w:val="auto"/>
                <w:highlight w:val="none"/>
              </w:rPr>
            </w:pPr>
          </w:p>
        </w:tc>
        <w:tc>
          <w:tcPr>
            <w:tcW w:w="1982"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tcPr>
          <w:p>
            <w:pP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合计</w:t>
            </w:r>
          </w:p>
        </w:tc>
        <w:tc>
          <w:tcPr>
            <w:tcW w:w="1982"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95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bl>
    <w:p>
      <w:pPr>
        <w:ind w:left="1047"/>
        <w:rPr>
          <w:rFonts w:hAnsi="宋体" w:cs="宋体"/>
          <w:color w:val="auto"/>
          <w:highlight w:val="none"/>
        </w:rPr>
      </w:pPr>
    </w:p>
    <w:p>
      <w:pPr>
        <w:ind w:left="1498" w:leftChars="224" w:hanging="960" w:hangingChars="400"/>
        <w:rPr>
          <w:rFonts w:hAnsi="宋体" w:cs="宋体"/>
          <w:color w:val="auto"/>
          <w:highlight w:val="none"/>
        </w:rPr>
      </w:pPr>
      <w:r>
        <w:rPr>
          <w:rFonts w:hint="eastAsia" w:ascii="宋体" w:hAnsi="宋体"/>
          <w:color w:val="auto"/>
          <w:highlight w:val="none"/>
        </w:rPr>
        <w:t>注：（</w:t>
      </w:r>
      <w:r>
        <w:rPr>
          <w:rFonts w:hAnsi="宋体" w:cs="宋体"/>
          <w:color w:val="auto"/>
          <w:highlight w:val="none"/>
        </w:rPr>
        <w:t>1</w:t>
      </w:r>
      <w:r>
        <w:rPr>
          <w:rFonts w:hint="eastAsia" w:ascii="宋体" w:hAnsi="宋体"/>
          <w:color w:val="auto"/>
          <w:highlight w:val="none"/>
        </w:rPr>
        <w:t>）投标人应逐项填写本表，指出全部临时设施用地面积以及详细用途。</w:t>
      </w:r>
    </w:p>
    <w:p>
      <w:pPr>
        <w:ind w:left="1" w:firstLine="1017" w:firstLineChars="424"/>
        <w:rPr>
          <w:rFonts w:hAnsi="宋体" w:cs="宋体"/>
          <w:color w:val="auto"/>
          <w:highlight w:val="none"/>
        </w:rPr>
      </w:pPr>
      <w:r>
        <w:rPr>
          <w:rFonts w:hint="eastAsia" w:ascii="宋体" w:hAnsi="宋体"/>
          <w:color w:val="auto"/>
          <w:highlight w:val="none"/>
        </w:rPr>
        <w:t>（</w:t>
      </w:r>
      <w:r>
        <w:rPr>
          <w:rFonts w:hAnsi="宋体" w:cs="宋体"/>
          <w:color w:val="auto"/>
          <w:highlight w:val="none"/>
        </w:rPr>
        <w:t>2</w:t>
      </w:r>
      <w:r>
        <w:rPr>
          <w:rFonts w:hint="eastAsia" w:ascii="宋体" w:hAnsi="宋体"/>
          <w:color w:val="auto"/>
          <w:highlight w:val="none"/>
        </w:rPr>
        <w:t>）若本表不够，可加附页。</w:t>
      </w:r>
    </w:p>
    <w:p>
      <w:pPr>
        <w:ind w:left="1" w:firstLine="1017" w:firstLineChars="424"/>
        <w:rPr>
          <w:rFonts w:hAnsi="宋体" w:cs="宋体"/>
          <w:color w:val="auto"/>
          <w:highlight w:val="none"/>
        </w:rPr>
      </w:pPr>
    </w:p>
    <w:p>
      <w:pPr>
        <w:pStyle w:val="2"/>
        <w:rPr>
          <w:rFonts w:hAnsi="宋体" w:cs="宋体"/>
          <w:color w:val="auto"/>
          <w:highlight w:val="none"/>
        </w:rPr>
      </w:pPr>
    </w:p>
    <w:p>
      <w:pPr>
        <w:rPr>
          <w:color w:val="auto"/>
          <w:highlight w:val="none"/>
        </w:rPr>
      </w:pPr>
    </w:p>
    <w:p>
      <w:pPr>
        <w:ind w:left="1" w:firstLine="1017" w:firstLineChars="424"/>
        <w:rPr>
          <w:rFonts w:hAnsi="宋体" w:cs="宋体"/>
          <w:color w:val="auto"/>
          <w:highlight w:val="none"/>
        </w:rPr>
      </w:pPr>
    </w:p>
    <w:p>
      <w:pPr>
        <w:jc w:val="center"/>
        <w:rPr>
          <w:rFonts w:hAnsi="宋体" w:cs="宋体"/>
          <w:b/>
          <w:bCs/>
          <w:color w:val="auto"/>
          <w:sz w:val="36"/>
          <w:szCs w:val="36"/>
          <w:highlight w:val="none"/>
        </w:rPr>
      </w:pPr>
      <w:r>
        <w:rPr>
          <w:rFonts w:hint="eastAsia" w:ascii="宋体" w:hAnsi="宋体"/>
          <w:b/>
          <w:bCs/>
          <w:color w:val="auto"/>
          <w:sz w:val="36"/>
          <w:szCs w:val="36"/>
          <w:highlight w:val="none"/>
        </w:rPr>
        <w:t>二、项目管理班子配备情况</w:t>
      </w:r>
    </w:p>
    <w:p>
      <w:pPr>
        <w:ind w:left="1" w:firstLine="1362" w:firstLineChars="424"/>
        <w:jc w:val="center"/>
        <w:rPr>
          <w:rFonts w:hAnsi="宋体" w:cs="宋体"/>
          <w:b/>
          <w:bCs/>
          <w:color w:val="auto"/>
          <w:sz w:val="32"/>
          <w:szCs w:val="32"/>
          <w:highlight w:val="none"/>
        </w:rPr>
      </w:pPr>
    </w:p>
    <w:p>
      <w:pPr>
        <w:spacing w:line="360" w:lineRule="auto"/>
        <w:ind w:firstLine="480" w:firstLineChars="200"/>
        <w:rPr>
          <w:rFonts w:hAnsi="宋体" w:cs="宋体"/>
          <w:b/>
          <w:bCs/>
          <w:color w:val="auto"/>
          <w:highlight w:val="none"/>
          <w:u w:val="single"/>
        </w:rPr>
      </w:pPr>
      <w:r>
        <w:rPr>
          <w:rFonts w:hint="eastAsia" w:ascii="宋体" w:hAnsi="宋体"/>
          <w:color w:val="auto"/>
          <w:highlight w:val="none"/>
        </w:rPr>
        <w:t>表</w:t>
      </w:r>
      <w:r>
        <w:rPr>
          <w:rFonts w:hAnsi="宋体" w:cs="宋体"/>
          <w:color w:val="auto"/>
          <w:highlight w:val="none"/>
        </w:rPr>
        <w:t xml:space="preserve">5 </w:t>
      </w:r>
      <w:r>
        <w:rPr>
          <w:rFonts w:hint="eastAsia" w:ascii="宋体" w:hAnsi="宋体"/>
          <w:color w:val="auto"/>
          <w:highlight w:val="none"/>
        </w:rPr>
        <w:t>项目管理班子配套情况表</w:t>
      </w:r>
    </w:p>
    <w:p>
      <w:pPr>
        <w:spacing w:line="360" w:lineRule="auto"/>
        <w:ind w:firstLine="480" w:firstLineChars="200"/>
        <w:rPr>
          <w:rFonts w:hAnsi="宋体" w:cs="宋体"/>
          <w:color w:val="auto"/>
          <w:highlight w:val="none"/>
        </w:rPr>
      </w:pPr>
      <w:r>
        <w:rPr>
          <w:rFonts w:hint="eastAsia" w:ascii="宋体" w:hAnsi="宋体"/>
          <w:color w:val="auto"/>
          <w:highlight w:val="none"/>
        </w:rPr>
        <w:t>表</w:t>
      </w:r>
      <w:r>
        <w:rPr>
          <w:rFonts w:hAnsi="宋体" w:cs="宋体"/>
          <w:color w:val="auto"/>
          <w:highlight w:val="none"/>
        </w:rPr>
        <w:t xml:space="preserve">6 </w:t>
      </w:r>
      <w:r>
        <w:rPr>
          <w:rFonts w:hint="eastAsia" w:ascii="宋体" w:hAnsi="宋体"/>
          <w:color w:val="auto"/>
          <w:highlight w:val="none"/>
        </w:rPr>
        <w:t>项目负责人简历表</w:t>
      </w:r>
    </w:p>
    <w:p>
      <w:pPr>
        <w:spacing w:line="360" w:lineRule="auto"/>
        <w:ind w:firstLine="480" w:firstLineChars="200"/>
        <w:rPr>
          <w:rFonts w:hAnsi="宋体" w:cs="宋体"/>
          <w:color w:val="auto"/>
          <w:highlight w:val="none"/>
        </w:rPr>
      </w:pPr>
      <w:r>
        <w:rPr>
          <w:rFonts w:hint="eastAsia" w:ascii="宋体" w:hAnsi="宋体"/>
          <w:color w:val="auto"/>
          <w:highlight w:val="none"/>
        </w:rPr>
        <w:t>表</w:t>
      </w:r>
      <w:r>
        <w:rPr>
          <w:rFonts w:hAnsi="宋体" w:cs="宋体"/>
          <w:color w:val="auto"/>
          <w:highlight w:val="none"/>
        </w:rPr>
        <w:t xml:space="preserve">7 </w:t>
      </w:r>
      <w:r>
        <w:rPr>
          <w:rFonts w:hint="eastAsia" w:ascii="宋体" w:hAnsi="宋体"/>
          <w:color w:val="auto"/>
          <w:highlight w:val="none"/>
        </w:rPr>
        <w:t>项目技术负责人简历表</w:t>
      </w:r>
    </w:p>
    <w:p>
      <w:pPr>
        <w:spacing w:line="360" w:lineRule="auto"/>
        <w:ind w:firstLine="480" w:firstLineChars="200"/>
        <w:rPr>
          <w:rFonts w:hAnsi="宋体" w:cs="宋体"/>
          <w:color w:val="auto"/>
          <w:highlight w:val="none"/>
        </w:rPr>
      </w:pPr>
      <w:r>
        <w:rPr>
          <w:rFonts w:hint="eastAsia" w:ascii="宋体" w:hAnsi="宋体"/>
          <w:color w:val="auto"/>
          <w:highlight w:val="none"/>
        </w:rPr>
        <w:t>表</w:t>
      </w:r>
      <w:r>
        <w:rPr>
          <w:rFonts w:hAnsi="宋体" w:cs="宋体"/>
          <w:color w:val="auto"/>
          <w:highlight w:val="none"/>
        </w:rPr>
        <w:t xml:space="preserve">8 </w:t>
      </w:r>
      <w:r>
        <w:rPr>
          <w:rFonts w:hint="eastAsia" w:ascii="宋体" w:hAnsi="宋体"/>
          <w:color w:val="auto"/>
          <w:highlight w:val="none"/>
        </w:rPr>
        <w:t>项目管理班子配备情况辅助说明资料</w:t>
      </w:r>
    </w:p>
    <w:p>
      <w:pPr>
        <w:pStyle w:val="17"/>
        <w:rPr>
          <w:color w:val="auto"/>
          <w:highlight w:val="none"/>
        </w:rPr>
      </w:pPr>
      <w:r>
        <w:rPr>
          <w:rFonts w:hAnsi="宋体" w:cs="宋体"/>
          <w:b w:val="0"/>
          <w:bCs/>
          <w:color w:val="auto"/>
          <w:highlight w:val="none"/>
        </w:rPr>
        <w:br w:type="page"/>
      </w:r>
    </w:p>
    <w:p>
      <w:pPr>
        <w:spacing w:line="360" w:lineRule="auto"/>
        <w:jc w:val="center"/>
        <w:rPr>
          <w:rFonts w:ascii="宋体" w:hAnsi="宋体"/>
          <w:b/>
          <w:bCs/>
          <w:color w:val="auto"/>
          <w:highlight w:val="none"/>
        </w:rPr>
      </w:pPr>
      <w:r>
        <w:rPr>
          <w:rFonts w:hint="eastAsia" w:ascii="宋体" w:hAnsi="宋体"/>
          <w:b/>
          <w:bCs/>
          <w:color w:val="auto"/>
          <w:highlight w:val="none"/>
        </w:rPr>
        <w:t>表5  项目管理班子配备情况表</w:t>
      </w:r>
    </w:p>
    <w:p>
      <w:pPr>
        <w:spacing w:line="360" w:lineRule="auto"/>
        <w:ind w:firstLine="717" w:firstLineChars="299"/>
        <w:rPr>
          <w:rFonts w:hAnsi="宋体" w:cs="宋体"/>
          <w:color w:val="auto"/>
          <w:highlight w:val="none"/>
        </w:rPr>
      </w:pPr>
      <w:r>
        <w:rPr>
          <w:rFonts w:hint="eastAsia" w:ascii="宋体" w:hAnsi="宋体"/>
          <w:color w:val="auto"/>
          <w:highlight w:val="none"/>
        </w:rPr>
        <w:t>工程名称：</w:t>
      </w:r>
    </w:p>
    <w:tbl>
      <w:tblPr>
        <w:tblStyle w:val="1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职务</w:t>
            </w:r>
          </w:p>
        </w:tc>
        <w:tc>
          <w:tcPr>
            <w:tcW w:w="720" w:type="dxa"/>
            <w:vMerge w:val="restart"/>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姓名</w:t>
            </w:r>
          </w:p>
        </w:tc>
        <w:tc>
          <w:tcPr>
            <w:tcW w:w="720" w:type="dxa"/>
            <w:vMerge w:val="restart"/>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职称</w:t>
            </w:r>
          </w:p>
        </w:tc>
        <w:tc>
          <w:tcPr>
            <w:tcW w:w="5040" w:type="dxa"/>
            <w:gridSpan w:val="5"/>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上岗资格证明</w:t>
            </w:r>
          </w:p>
        </w:tc>
        <w:tc>
          <w:tcPr>
            <w:tcW w:w="1800" w:type="dxa"/>
            <w:gridSpan w:val="2"/>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hAnsi="宋体" w:cs="宋体"/>
                <w:color w:val="auto"/>
                <w:highlight w:val="none"/>
              </w:rPr>
            </w:pPr>
          </w:p>
        </w:tc>
        <w:tc>
          <w:tcPr>
            <w:tcW w:w="72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hAnsi="宋体" w:cs="宋体"/>
                <w:color w:val="auto"/>
                <w:highlight w:val="none"/>
              </w:rPr>
            </w:pPr>
          </w:p>
        </w:tc>
        <w:tc>
          <w:tcPr>
            <w:tcW w:w="720" w:type="dxa"/>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证书</w:t>
            </w:r>
          </w:p>
          <w:p>
            <w:pPr>
              <w:jc w:val="center"/>
              <w:rPr>
                <w:rFonts w:hAnsi="宋体" w:cs="宋体"/>
                <w:color w:val="auto"/>
                <w:highlight w:val="none"/>
              </w:rPr>
            </w:pPr>
            <w:r>
              <w:rPr>
                <w:rFonts w:hint="eastAsia" w:hAnsi="宋体"/>
                <w:color w:val="auto"/>
                <w:highlight w:val="none"/>
              </w:rPr>
              <w:t>名称</w:t>
            </w: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级别</w:t>
            </w: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证号</w:t>
            </w: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专业</w:t>
            </w: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原服务单位</w:t>
            </w: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项目数</w:t>
            </w: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72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1488"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889"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c>
          <w:tcPr>
            <w:tcW w:w="911" w:type="dxa"/>
            <w:tcBorders>
              <w:top w:val="single" w:color="auto" w:sz="4" w:space="0"/>
              <w:left w:val="nil"/>
              <w:bottom w:val="single" w:color="auto" w:sz="4" w:space="0"/>
              <w:right w:val="single" w:color="auto" w:sz="4" w:space="0"/>
            </w:tcBorders>
            <w:vAlign w:val="center"/>
          </w:tcPr>
          <w:p>
            <w:pPr>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8928" w:type="dxa"/>
            <w:gridSpan w:val="10"/>
            <w:tcBorders>
              <w:top w:val="single" w:color="auto" w:sz="4" w:space="0"/>
              <w:left w:val="single" w:color="auto" w:sz="4" w:space="0"/>
              <w:bottom w:val="single" w:color="auto" w:sz="4" w:space="0"/>
              <w:right w:val="single" w:color="auto" w:sz="4" w:space="0"/>
            </w:tcBorders>
          </w:tcPr>
          <w:p>
            <w:pPr>
              <w:spacing w:line="360" w:lineRule="auto"/>
              <w:ind w:firstLine="540" w:firstLineChars="225"/>
              <w:rPr>
                <w:rFonts w:hAnsi="宋体" w:cs="宋体"/>
                <w:color w:val="auto"/>
                <w:highlight w:val="none"/>
              </w:rPr>
            </w:pPr>
            <w:r>
              <w:rPr>
                <w:rFonts w:hint="eastAsia" w:hAnsi="宋体"/>
                <w:color w:val="auto"/>
                <w:highlight w:val="none"/>
              </w:rPr>
              <w:t>本工程一旦我单位中标，将实行项目负责人负责制，并配备上述项目管理班子。上述填报内容真实，若不真实，愿按有关规定接受处理。项目管理班子机构设置、职责分工等情况另附资料说明。</w:t>
            </w:r>
          </w:p>
        </w:tc>
      </w:tr>
    </w:tbl>
    <w:p>
      <w:pPr>
        <w:spacing w:line="360" w:lineRule="auto"/>
        <w:jc w:val="center"/>
        <w:rPr>
          <w:rFonts w:ascii="宋体" w:hAnsi="宋体"/>
          <w:b/>
          <w:bCs/>
          <w:color w:val="auto"/>
          <w:highlight w:val="none"/>
        </w:rPr>
      </w:pPr>
      <w:r>
        <w:rPr>
          <w:rFonts w:hAnsi="宋体" w:cs="宋体"/>
          <w:b/>
          <w:bCs/>
          <w:color w:val="auto"/>
          <w:highlight w:val="none"/>
        </w:rPr>
        <w:br w:type="page"/>
      </w:r>
      <w:r>
        <w:rPr>
          <w:rFonts w:hint="eastAsia" w:ascii="宋体" w:hAnsi="宋体"/>
          <w:b/>
          <w:bCs/>
          <w:color w:val="auto"/>
          <w:highlight w:val="none"/>
        </w:rPr>
        <w:t>表6 项目负责人简历表</w:t>
      </w:r>
    </w:p>
    <w:tbl>
      <w:tblPr>
        <w:tblStyle w:val="18"/>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姓名</w:t>
            </w:r>
          </w:p>
        </w:tc>
        <w:tc>
          <w:tcPr>
            <w:tcW w:w="1480"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性别</w:t>
            </w: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年龄</w:t>
            </w:r>
          </w:p>
        </w:tc>
        <w:tc>
          <w:tcPr>
            <w:tcW w:w="1481"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职务</w:t>
            </w:r>
          </w:p>
        </w:tc>
        <w:tc>
          <w:tcPr>
            <w:tcW w:w="1480"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职称</w:t>
            </w: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学历</w:t>
            </w:r>
          </w:p>
        </w:tc>
        <w:tc>
          <w:tcPr>
            <w:tcW w:w="1481"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参加工作时间</w:t>
            </w:r>
          </w:p>
        </w:tc>
        <w:tc>
          <w:tcPr>
            <w:tcW w:w="1480"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30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从事项目负责人年限</w:t>
            </w:r>
          </w:p>
        </w:tc>
        <w:tc>
          <w:tcPr>
            <w:tcW w:w="1481"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项目负责人资格证书编号</w:t>
            </w:r>
          </w:p>
        </w:tc>
        <w:tc>
          <w:tcPr>
            <w:tcW w:w="6050"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建设单位</w:t>
            </w:r>
          </w:p>
        </w:tc>
        <w:tc>
          <w:tcPr>
            <w:tcW w:w="1480"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项目名称</w:t>
            </w:r>
          </w:p>
        </w:tc>
        <w:tc>
          <w:tcPr>
            <w:tcW w:w="1480"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建设规模</w:t>
            </w: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开、竣工日期</w:t>
            </w:r>
          </w:p>
        </w:tc>
        <w:tc>
          <w:tcPr>
            <w:tcW w:w="1481"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在建或已完</w:t>
            </w:r>
          </w:p>
        </w:tc>
        <w:tc>
          <w:tcPr>
            <w:tcW w:w="1481" w:type="dxa"/>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r>
              <w:rPr>
                <w:rFonts w:hint="eastAsia"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auto"/>
                <w:highlight w:val="none"/>
              </w:rPr>
            </w:pPr>
          </w:p>
        </w:tc>
      </w:tr>
    </w:tbl>
    <w:p>
      <w:pPr>
        <w:spacing w:line="360" w:lineRule="auto"/>
        <w:rPr>
          <w:rFonts w:hAnsi="宋体" w:cs="宋体"/>
          <w:color w:val="auto"/>
          <w:highlight w:val="none"/>
        </w:rPr>
      </w:pPr>
    </w:p>
    <w:p>
      <w:pPr>
        <w:spacing w:line="360" w:lineRule="auto"/>
        <w:jc w:val="center"/>
        <w:rPr>
          <w:rFonts w:ascii="宋体" w:hAnsi="宋体"/>
          <w:b/>
          <w:bCs/>
          <w:color w:val="auto"/>
          <w:highlight w:val="none"/>
        </w:rPr>
      </w:pPr>
    </w:p>
    <w:p>
      <w:pPr>
        <w:pStyle w:val="2"/>
        <w:rPr>
          <w:color w:val="auto"/>
          <w:highlight w:val="none"/>
        </w:rPr>
      </w:pPr>
    </w:p>
    <w:p>
      <w:pPr>
        <w:spacing w:line="360" w:lineRule="auto"/>
        <w:jc w:val="center"/>
        <w:rPr>
          <w:rFonts w:ascii="宋体" w:hAnsi="宋体"/>
          <w:b/>
          <w:bCs/>
          <w:color w:val="auto"/>
          <w:highlight w:val="none"/>
        </w:rPr>
      </w:pPr>
      <w:r>
        <w:rPr>
          <w:rFonts w:hint="eastAsia" w:ascii="宋体" w:hAnsi="宋体"/>
          <w:b/>
          <w:bCs/>
          <w:color w:val="auto"/>
          <w:highlight w:val="none"/>
        </w:rPr>
        <w:t>表7  项目技术负责人简历表</w:t>
      </w:r>
    </w:p>
    <w:tbl>
      <w:tblPr>
        <w:tblStyle w:val="18"/>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姓名</w:t>
            </w:r>
          </w:p>
        </w:tc>
        <w:tc>
          <w:tcPr>
            <w:tcW w:w="1480"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性别</w:t>
            </w:r>
          </w:p>
        </w:tc>
        <w:tc>
          <w:tcPr>
            <w:tcW w:w="1608"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年龄</w:t>
            </w:r>
          </w:p>
        </w:tc>
        <w:tc>
          <w:tcPr>
            <w:tcW w:w="1481"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职务</w:t>
            </w:r>
          </w:p>
        </w:tc>
        <w:tc>
          <w:tcPr>
            <w:tcW w:w="1480"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职称</w:t>
            </w:r>
          </w:p>
        </w:tc>
        <w:tc>
          <w:tcPr>
            <w:tcW w:w="1608"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学历</w:t>
            </w:r>
          </w:p>
        </w:tc>
        <w:tc>
          <w:tcPr>
            <w:tcW w:w="1481"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参加工作时间</w:t>
            </w:r>
          </w:p>
        </w:tc>
        <w:tc>
          <w:tcPr>
            <w:tcW w:w="1480"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c>
          <w:tcPr>
            <w:tcW w:w="3089" w:type="dxa"/>
            <w:gridSpan w:val="2"/>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从事技术负责人年限</w:t>
            </w:r>
          </w:p>
        </w:tc>
        <w:tc>
          <w:tcPr>
            <w:tcW w:w="1481"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资格证书名称及编号</w:t>
            </w:r>
          </w:p>
        </w:tc>
        <w:tc>
          <w:tcPr>
            <w:tcW w:w="6050" w:type="dxa"/>
            <w:gridSpan w:val="4"/>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建设单位</w:t>
            </w:r>
          </w:p>
        </w:tc>
        <w:tc>
          <w:tcPr>
            <w:tcW w:w="1480"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项目名称</w:t>
            </w:r>
          </w:p>
        </w:tc>
        <w:tc>
          <w:tcPr>
            <w:tcW w:w="1480"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建设规模</w:t>
            </w:r>
          </w:p>
        </w:tc>
        <w:tc>
          <w:tcPr>
            <w:tcW w:w="1608"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开、竣工日期</w:t>
            </w:r>
          </w:p>
        </w:tc>
        <w:tc>
          <w:tcPr>
            <w:tcW w:w="1481"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在建或已完</w:t>
            </w:r>
          </w:p>
        </w:tc>
        <w:tc>
          <w:tcPr>
            <w:tcW w:w="1481" w:type="dxa"/>
            <w:tcBorders>
              <w:top w:val="single" w:color="auto" w:sz="4" w:space="0"/>
              <w:left w:val="nil"/>
              <w:bottom w:val="single" w:color="auto" w:sz="4" w:space="0"/>
              <w:right w:val="single" w:color="auto" w:sz="4" w:space="0"/>
            </w:tcBorders>
          </w:tcPr>
          <w:p>
            <w:pPr>
              <w:spacing w:line="360" w:lineRule="auto"/>
              <w:jc w:val="center"/>
              <w:rPr>
                <w:rFonts w:hAnsi="宋体" w:cs="宋体"/>
                <w:color w:val="auto"/>
                <w:highlight w:val="none"/>
              </w:rPr>
            </w:pPr>
            <w:r>
              <w:rPr>
                <w:rFonts w:hint="eastAsia"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80"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0"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608"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c>
          <w:tcPr>
            <w:tcW w:w="1481" w:type="dxa"/>
            <w:tcBorders>
              <w:top w:val="single" w:color="auto" w:sz="4" w:space="0"/>
              <w:left w:val="nil"/>
              <w:bottom w:val="single" w:color="auto" w:sz="4" w:space="0"/>
              <w:right w:val="single" w:color="auto" w:sz="4" w:space="0"/>
            </w:tcBorders>
          </w:tcPr>
          <w:p>
            <w:pPr>
              <w:spacing w:line="360" w:lineRule="auto"/>
              <w:rPr>
                <w:rFonts w:hAnsi="宋体" w:cs="宋体"/>
                <w:color w:val="auto"/>
                <w:highlight w:val="none"/>
              </w:rPr>
            </w:pPr>
          </w:p>
        </w:tc>
      </w:tr>
    </w:tbl>
    <w:p>
      <w:pPr>
        <w:spacing w:line="360" w:lineRule="auto"/>
        <w:ind w:firstLine="360" w:firstLineChars="150"/>
        <w:rPr>
          <w:rFonts w:hAnsi="宋体" w:cs="宋体"/>
          <w:color w:val="auto"/>
          <w:highlight w:val="none"/>
        </w:rPr>
      </w:pPr>
    </w:p>
    <w:p>
      <w:pPr>
        <w:widowControl/>
        <w:rPr>
          <w:rFonts w:hAnsi="宋体" w:cs="宋体"/>
          <w:b/>
          <w:bCs/>
          <w:color w:val="auto"/>
          <w:highlight w:val="none"/>
        </w:rPr>
      </w:pPr>
    </w:p>
    <w:p>
      <w:pPr>
        <w:spacing w:line="360" w:lineRule="auto"/>
        <w:jc w:val="center"/>
        <w:rPr>
          <w:rFonts w:ascii="宋体" w:hAnsi="宋体"/>
          <w:b/>
          <w:bCs/>
          <w:color w:val="auto"/>
          <w:highlight w:val="none"/>
        </w:rPr>
      </w:pPr>
    </w:p>
    <w:p>
      <w:pPr>
        <w:pStyle w:val="11"/>
        <w:ind w:firstLine="211"/>
        <w:rPr>
          <w:rFonts w:ascii="宋体" w:hAnsi="宋体"/>
          <w:b/>
          <w:bCs/>
          <w:color w:val="auto"/>
          <w:highlight w:val="none"/>
        </w:rPr>
      </w:pPr>
    </w:p>
    <w:p>
      <w:pPr>
        <w:rPr>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r>
        <w:rPr>
          <w:rFonts w:hint="eastAsia" w:ascii="宋体" w:hAnsi="宋体"/>
          <w:b/>
          <w:bCs/>
          <w:color w:val="auto"/>
          <w:highlight w:val="none"/>
        </w:rPr>
        <w:t>表8    项目管理班子配备情况辅助说明资料</w:t>
      </w:r>
    </w:p>
    <w:tbl>
      <w:tblPr>
        <w:tblStyle w:val="18"/>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6" w:hRule="atLeast"/>
        </w:trPr>
        <w:tc>
          <w:tcPr>
            <w:tcW w:w="8882"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color w:val="auto"/>
                <w:highlight w:val="none"/>
              </w:rPr>
            </w:pPr>
            <w:bookmarkStart w:id="743" w:name="_Hlk24150653"/>
            <w:bookmarkEnd w:id="743"/>
          </w:p>
        </w:tc>
      </w:tr>
    </w:tbl>
    <w:p>
      <w:pPr>
        <w:spacing w:line="360" w:lineRule="auto"/>
        <w:rPr>
          <w:rFonts w:hAnsi="宋体" w:cs="宋体"/>
          <w:color w:val="auto"/>
          <w:highlight w:val="none"/>
        </w:rPr>
      </w:pPr>
      <w:r>
        <w:rPr>
          <w:rFonts w:hint="eastAsia" w:ascii="宋体" w:hAnsi="宋体"/>
          <w:color w:val="auto"/>
          <w:highlight w:val="none"/>
        </w:rPr>
        <w:t>注：</w:t>
      </w:r>
      <w:r>
        <w:rPr>
          <w:rFonts w:hAnsi="宋体" w:cs="宋体"/>
          <w:color w:val="auto"/>
          <w:highlight w:val="none"/>
        </w:rPr>
        <w:t>1</w:t>
      </w:r>
      <w:r>
        <w:rPr>
          <w:rFonts w:hint="eastAsia" w:ascii="宋体" w:hAnsi="宋体"/>
          <w:color w:val="auto"/>
          <w:highlight w:val="none"/>
        </w:rPr>
        <w:t>、辅助说明资料主要包括管理班子机构设置、职责分工、有关复印证明资料以及投标人认为有必要提供的资料。辅助说明资料格式不做统一规定，由投标人自行设计。</w:t>
      </w:r>
    </w:p>
    <w:p>
      <w:pPr>
        <w:spacing w:line="360" w:lineRule="auto"/>
        <w:ind w:firstLine="360" w:firstLineChars="150"/>
        <w:rPr>
          <w:rFonts w:hAnsi="宋体" w:cs="宋体"/>
          <w:color w:val="auto"/>
          <w:highlight w:val="none"/>
        </w:rPr>
      </w:pPr>
      <w:r>
        <w:rPr>
          <w:rFonts w:hAnsi="宋体" w:cs="宋体"/>
          <w:color w:val="auto"/>
          <w:highlight w:val="none"/>
        </w:rPr>
        <w:t>2</w:t>
      </w:r>
      <w:r>
        <w:rPr>
          <w:rFonts w:hint="eastAsia" w:ascii="宋体" w:hAnsi="宋体"/>
          <w:color w:val="auto"/>
          <w:highlight w:val="none"/>
        </w:rPr>
        <w:t>、项目管理班子配备情况辅助说明资料另附（与本投标文件一起装订）</w:t>
      </w:r>
    </w:p>
    <w:p>
      <w:pPr>
        <w:spacing w:line="360" w:lineRule="auto"/>
        <w:ind w:firstLine="360" w:firstLineChars="150"/>
        <w:jc w:val="center"/>
        <w:rPr>
          <w:rFonts w:hAnsi="宋体" w:cs="宋体"/>
          <w:b/>
          <w:bCs/>
          <w:strike/>
          <w:dstrike w:val="0"/>
          <w:color w:val="auto"/>
          <w:sz w:val="36"/>
          <w:szCs w:val="36"/>
          <w:highlight w:val="none"/>
        </w:rPr>
      </w:pPr>
      <w:r>
        <w:rPr>
          <w:rFonts w:hAnsi="宋体" w:cs="宋体"/>
          <w:color w:val="auto"/>
          <w:highlight w:val="none"/>
        </w:rPr>
        <w:br w:type="page"/>
      </w:r>
      <w:r>
        <w:rPr>
          <w:rFonts w:hint="eastAsia" w:ascii="宋体" w:hAnsi="宋体"/>
          <w:b/>
          <w:bCs/>
          <w:strike/>
          <w:dstrike w:val="0"/>
          <w:color w:val="auto"/>
          <w:sz w:val="36"/>
          <w:szCs w:val="36"/>
          <w:highlight w:val="none"/>
        </w:rPr>
        <w:t>三、项目拟分包情况</w:t>
      </w:r>
    </w:p>
    <w:p>
      <w:pPr>
        <w:spacing w:line="360" w:lineRule="auto"/>
        <w:jc w:val="center"/>
        <w:rPr>
          <w:rFonts w:hAnsi="宋体" w:cs="宋体"/>
          <w:strike/>
          <w:dstrike w:val="0"/>
          <w:color w:val="auto"/>
          <w:highlight w:val="none"/>
        </w:rPr>
      </w:pPr>
    </w:p>
    <w:p>
      <w:pPr>
        <w:spacing w:line="360" w:lineRule="auto"/>
        <w:jc w:val="center"/>
        <w:rPr>
          <w:rFonts w:ascii="宋体" w:hAnsi="宋体"/>
          <w:b/>
          <w:bCs/>
          <w:strike/>
          <w:dstrike w:val="0"/>
          <w:color w:val="auto"/>
          <w:highlight w:val="none"/>
        </w:rPr>
      </w:pPr>
      <w:r>
        <w:rPr>
          <w:rFonts w:hint="eastAsia" w:ascii="宋体" w:hAnsi="宋体"/>
          <w:b/>
          <w:bCs/>
          <w:strike/>
          <w:dstrike w:val="0"/>
          <w:color w:val="auto"/>
          <w:highlight w:val="none"/>
        </w:rPr>
        <w:t>表9  项目拟分包情况表</w:t>
      </w:r>
    </w:p>
    <w:tbl>
      <w:tblPr>
        <w:tblStyle w:val="18"/>
        <w:tblW w:w="867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441"/>
        <w:gridCol w:w="1448"/>
        <w:gridCol w:w="1448"/>
        <w:gridCol w:w="654"/>
        <w:gridCol w:w="795"/>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7"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trike/>
                <w:dstrike w:val="0"/>
                <w:color w:val="auto"/>
                <w:highlight w:val="none"/>
              </w:rPr>
            </w:pPr>
            <w:r>
              <w:rPr>
                <w:rFonts w:hint="eastAsia" w:hAnsi="宋体"/>
                <w:strike/>
                <w:dstrike w:val="0"/>
                <w:color w:val="auto"/>
                <w:highlight w:val="none"/>
              </w:rPr>
              <w:t>分包人名称</w:t>
            </w:r>
          </w:p>
        </w:tc>
        <w:tc>
          <w:tcPr>
            <w:tcW w:w="2889" w:type="dxa"/>
            <w:gridSpan w:val="2"/>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p>
        </w:tc>
        <w:tc>
          <w:tcPr>
            <w:tcW w:w="1448" w:type="dxa"/>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r>
              <w:rPr>
                <w:rFonts w:hint="eastAsia" w:hAnsi="宋体"/>
                <w:strike/>
                <w:dstrike w:val="0"/>
                <w:color w:val="auto"/>
                <w:highlight w:val="none"/>
              </w:rPr>
              <w:t>地址</w:t>
            </w:r>
          </w:p>
        </w:tc>
        <w:tc>
          <w:tcPr>
            <w:tcW w:w="2892" w:type="dxa"/>
            <w:gridSpan w:val="3"/>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trike/>
                <w:dstrike w:val="0"/>
                <w:color w:val="auto"/>
                <w:highlight w:val="none"/>
              </w:rPr>
            </w:pPr>
            <w:r>
              <w:rPr>
                <w:rFonts w:hint="eastAsia" w:hAnsi="宋体"/>
                <w:strike/>
                <w:dstrike w:val="0"/>
                <w:color w:val="auto"/>
                <w:highlight w:val="none"/>
              </w:rPr>
              <w:t>法定代表人</w:t>
            </w:r>
          </w:p>
        </w:tc>
        <w:tc>
          <w:tcPr>
            <w:tcW w:w="1441" w:type="dxa"/>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p>
        </w:tc>
        <w:tc>
          <w:tcPr>
            <w:tcW w:w="1448" w:type="dxa"/>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r>
              <w:rPr>
                <w:rFonts w:hint="eastAsia" w:hAnsi="宋体"/>
                <w:strike/>
                <w:dstrike w:val="0"/>
                <w:color w:val="auto"/>
                <w:highlight w:val="none"/>
              </w:rPr>
              <w:t>营业执照号码</w:t>
            </w:r>
          </w:p>
        </w:tc>
        <w:tc>
          <w:tcPr>
            <w:tcW w:w="1448" w:type="dxa"/>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p>
        </w:tc>
        <w:tc>
          <w:tcPr>
            <w:tcW w:w="1449" w:type="dxa"/>
            <w:gridSpan w:val="2"/>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r>
              <w:rPr>
                <w:rFonts w:hint="eastAsia" w:hAnsi="宋体"/>
                <w:strike/>
                <w:dstrike w:val="0"/>
                <w:color w:val="auto"/>
                <w:highlight w:val="none"/>
              </w:rPr>
              <w:t>资质等级</w:t>
            </w:r>
          </w:p>
          <w:p>
            <w:pPr>
              <w:spacing w:line="360" w:lineRule="auto"/>
              <w:jc w:val="center"/>
              <w:rPr>
                <w:rFonts w:hAnsi="宋体" w:cs="宋体"/>
                <w:strike/>
                <w:dstrike w:val="0"/>
                <w:color w:val="auto"/>
                <w:highlight w:val="none"/>
              </w:rPr>
            </w:pPr>
            <w:r>
              <w:rPr>
                <w:rFonts w:hint="eastAsia" w:hAnsi="宋体"/>
                <w:strike/>
                <w:dstrike w:val="0"/>
                <w:color w:val="auto"/>
                <w:highlight w:val="none"/>
              </w:rPr>
              <w:t>证书号码</w:t>
            </w:r>
          </w:p>
        </w:tc>
        <w:tc>
          <w:tcPr>
            <w:tcW w:w="1443" w:type="dxa"/>
            <w:tcBorders>
              <w:top w:val="single" w:color="auto" w:sz="4" w:space="0"/>
              <w:left w:val="nil"/>
              <w:bottom w:val="single" w:color="auto" w:sz="4" w:space="0"/>
              <w:right w:val="single" w:color="auto" w:sz="4" w:space="0"/>
            </w:tcBorders>
          </w:tcPr>
          <w:p>
            <w:pPr>
              <w:spacing w:line="360" w:lineRule="auto"/>
              <w:jc w:val="center"/>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r>
              <w:rPr>
                <w:rFonts w:hint="eastAsia" w:hAnsi="宋体"/>
                <w:strike/>
                <w:dstrike w:val="0"/>
                <w:color w:val="auto"/>
                <w:highlight w:val="none"/>
              </w:rPr>
              <w:t>拟分包的工程项目</w:t>
            </w: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r>
              <w:rPr>
                <w:rFonts w:hint="eastAsia" w:hAnsi="宋体"/>
                <w:strike/>
                <w:dstrike w:val="0"/>
                <w:color w:val="auto"/>
                <w:highlight w:val="none"/>
              </w:rPr>
              <w:t>主要内容</w:t>
            </w: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r>
              <w:rPr>
                <w:rFonts w:hint="eastAsia" w:hAnsi="宋体"/>
                <w:strike/>
                <w:dstrike w:val="0"/>
                <w:color w:val="auto"/>
                <w:highlight w:val="none"/>
              </w:rPr>
              <w:t>造价</w:t>
            </w:r>
          </w:p>
          <w:p>
            <w:pPr>
              <w:spacing w:line="360" w:lineRule="auto"/>
              <w:jc w:val="center"/>
              <w:rPr>
                <w:rFonts w:hAnsi="宋体" w:cs="宋体"/>
                <w:strike/>
                <w:dstrike w:val="0"/>
                <w:color w:val="auto"/>
                <w:highlight w:val="none"/>
              </w:rPr>
            </w:pPr>
            <w:r>
              <w:rPr>
                <w:rFonts w:hint="eastAsia" w:hAnsi="宋体"/>
                <w:strike/>
                <w:dstrike w:val="0"/>
                <w:color w:val="auto"/>
                <w:highlight w:val="none"/>
              </w:rPr>
              <w:t>（万元）</w:t>
            </w:r>
          </w:p>
        </w:tc>
        <w:tc>
          <w:tcPr>
            <w:tcW w:w="223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r>
              <w:rPr>
                <w:rFonts w:hint="eastAsia" w:hAnsi="宋体"/>
                <w:strike/>
                <w:dstrike w:val="0"/>
                <w:color w:val="auto"/>
                <w:highlight w:val="none"/>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238" w:type="dxa"/>
            <w:gridSpan w:val="2"/>
            <w:vMerge w:val="restart"/>
            <w:tcBorders>
              <w:top w:val="nil"/>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strike/>
                <w:dstrike w:val="0"/>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strike/>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88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1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auto"/>
                <w:highlight w:val="none"/>
              </w:rPr>
            </w:pPr>
          </w:p>
        </w:tc>
        <w:tc>
          <w:tcPr>
            <w:tcW w:w="2238" w:type="dxa"/>
            <w:gridSpan w:val="2"/>
            <w:vMerge w:val="continue"/>
            <w:tcBorders>
              <w:top w:val="nil"/>
              <w:left w:val="nil"/>
              <w:bottom w:val="single" w:color="auto" w:sz="4" w:space="0"/>
              <w:right w:val="single" w:color="auto" w:sz="4" w:space="0"/>
            </w:tcBorders>
            <w:vAlign w:val="center"/>
          </w:tcPr>
          <w:p>
            <w:pPr>
              <w:widowControl/>
              <w:autoSpaceDE/>
              <w:autoSpaceDN/>
              <w:adjustRightInd/>
              <w:rPr>
                <w:rFonts w:hAnsi="宋体" w:cs="宋体"/>
                <w:color w:val="auto"/>
                <w:highlight w:val="none"/>
              </w:rPr>
            </w:pPr>
          </w:p>
        </w:tc>
      </w:tr>
    </w:tbl>
    <w:p>
      <w:pPr>
        <w:widowControl/>
        <w:rPr>
          <w:color w:val="auto"/>
          <w:highlight w:val="none"/>
        </w:rPr>
      </w:pPr>
    </w:p>
    <w:p>
      <w:pPr>
        <w:spacing w:line="360" w:lineRule="auto"/>
        <w:jc w:val="center"/>
        <w:rPr>
          <w:color w:val="auto"/>
          <w:sz w:val="72"/>
          <w:szCs w:val="72"/>
          <w:highlight w:val="none"/>
        </w:rPr>
      </w:pPr>
    </w:p>
    <w:p>
      <w:pPr>
        <w:spacing w:line="360" w:lineRule="auto"/>
        <w:jc w:val="center"/>
        <w:rPr>
          <w:rFonts w:ascii="宋体" w:hAnsi="宋体"/>
          <w:color w:val="auto"/>
          <w:sz w:val="72"/>
          <w:szCs w:val="72"/>
          <w:highlight w:val="none"/>
        </w:rPr>
      </w:pPr>
      <w:r>
        <w:rPr>
          <w:rFonts w:hint="eastAsia" w:ascii="宋体" w:hAnsi="宋体"/>
          <w:color w:val="auto"/>
          <w:sz w:val="72"/>
          <w:szCs w:val="72"/>
          <w:highlight w:val="none"/>
        </w:rPr>
        <w:t>施工投标文件</w:t>
      </w:r>
    </w:p>
    <w:p>
      <w:pPr>
        <w:jc w:val="center"/>
        <w:rPr>
          <w:rFonts w:ascii="宋体" w:hAnsi="宋体"/>
          <w:color w:val="auto"/>
          <w:sz w:val="32"/>
          <w:szCs w:val="32"/>
          <w:highlight w:val="none"/>
        </w:rPr>
      </w:pPr>
      <w:r>
        <w:rPr>
          <w:rFonts w:hint="eastAsia" w:ascii="宋体" w:hAnsi="宋体"/>
          <w:color w:val="auto"/>
          <w:sz w:val="32"/>
          <w:szCs w:val="32"/>
          <w:highlight w:val="none"/>
        </w:rPr>
        <w:t>（封面）</w:t>
      </w:r>
    </w:p>
    <w:p>
      <w:pPr>
        <w:jc w:val="center"/>
        <w:rPr>
          <w:rFonts w:ascii="宋体" w:hAnsi="宋体"/>
          <w:color w:val="auto"/>
          <w:sz w:val="32"/>
          <w:szCs w:val="32"/>
          <w:highlight w:val="none"/>
        </w:rPr>
      </w:pPr>
    </w:p>
    <w:p>
      <w:pPr>
        <w:jc w:val="center"/>
        <w:rPr>
          <w:rFonts w:ascii="宋体" w:hAnsi="宋体"/>
          <w:color w:val="auto"/>
          <w:sz w:val="32"/>
          <w:szCs w:val="32"/>
          <w:highlight w:val="none"/>
        </w:rPr>
      </w:pPr>
    </w:p>
    <w:p>
      <w:pPr>
        <w:jc w:val="center"/>
        <w:rPr>
          <w:rFonts w:ascii="宋体" w:hAnsi="宋体"/>
          <w:color w:val="auto"/>
          <w:sz w:val="32"/>
          <w:szCs w:val="32"/>
          <w:highlight w:val="none"/>
        </w:rPr>
      </w:pPr>
    </w:p>
    <w:p>
      <w:pPr>
        <w:spacing w:line="480" w:lineRule="auto"/>
        <w:jc w:val="center"/>
        <w:rPr>
          <w:rFonts w:ascii="宋体" w:hAnsi="宋体"/>
          <w:color w:val="auto"/>
          <w:sz w:val="32"/>
          <w:szCs w:val="32"/>
          <w:highlight w:val="none"/>
        </w:rPr>
      </w:pPr>
    </w:p>
    <w:p>
      <w:pPr>
        <w:spacing w:after="360" w:afterLines="150" w:line="480" w:lineRule="auto"/>
        <w:ind w:firstLine="627" w:firstLineChars="196"/>
        <w:rPr>
          <w:rFonts w:ascii="宋体" w:hAnsi="宋体"/>
          <w:color w:val="auto"/>
          <w:sz w:val="32"/>
          <w:szCs w:val="32"/>
          <w:highlight w:val="none"/>
          <w:u w:val="single"/>
        </w:rPr>
      </w:pPr>
      <w:r>
        <w:rPr>
          <w:rFonts w:hint="eastAsia" w:ascii="宋体" w:hAnsi="宋体"/>
          <w:color w:val="auto"/>
          <w:sz w:val="32"/>
          <w:szCs w:val="32"/>
          <w:highlight w:val="none"/>
        </w:rPr>
        <w:t>工程名称：</w:t>
      </w:r>
      <w:r>
        <w:rPr>
          <w:rFonts w:hint="eastAsia" w:ascii="宋体" w:hAnsi="宋体"/>
          <w:color w:val="auto"/>
          <w:sz w:val="32"/>
          <w:szCs w:val="32"/>
          <w:highlight w:val="none"/>
          <w:u w:val="single"/>
        </w:rPr>
        <w:t xml:space="preserve">                                    </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投标文件内容：</w:t>
      </w:r>
      <w:r>
        <w:rPr>
          <w:rFonts w:hint="eastAsia" w:ascii="宋体" w:hAnsi="宋体"/>
          <w:color w:val="auto"/>
          <w:sz w:val="32"/>
          <w:szCs w:val="32"/>
          <w:highlight w:val="none"/>
          <w:u w:val="single"/>
        </w:rPr>
        <w:t xml:space="preserve">    投标文件资信标             </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投标人：</w:t>
      </w:r>
      <w:r>
        <w:rPr>
          <w:rFonts w:hint="eastAsia" w:ascii="宋体" w:hAnsi="宋体"/>
          <w:color w:val="auto"/>
          <w:sz w:val="32"/>
          <w:szCs w:val="32"/>
          <w:highlight w:val="none"/>
          <w:u w:val="single"/>
        </w:rPr>
        <w:t xml:space="preserve">                     （单位盖章）   </w:t>
      </w:r>
    </w:p>
    <w:p>
      <w:pPr>
        <w:spacing w:after="360" w:afterLines="150" w:line="480" w:lineRule="auto"/>
        <w:ind w:firstLine="627" w:firstLineChars="196"/>
        <w:rPr>
          <w:rFonts w:ascii="宋体" w:hAnsi="宋体"/>
          <w:color w:val="auto"/>
          <w:sz w:val="32"/>
          <w:szCs w:val="32"/>
          <w:highlight w:val="none"/>
        </w:rPr>
      </w:pPr>
      <w:r>
        <w:rPr>
          <w:rFonts w:hint="eastAsia" w:ascii="宋体" w:hAnsi="宋体"/>
          <w:color w:val="auto"/>
          <w:sz w:val="32"/>
          <w:szCs w:val="32"/>
          <w:highlight w:val="none"/>
        </w:rPr>
        <w:t>法定代表人或委托代理人：</w:t>
      </w:r>
      <w:r>
        <w:rPr>
          <w:rFonts w:hint="eastAsia" w:ascii="宋体" w:hAnsi="宋体"/>
          <w:color w:val="auto"/>
          <w:sz w:val="32"/>
          <w:szCs w:val="32"/>
          <w:highlight w:val="none"/>
          <w:u w:val="single"/>
        </w:rPr>
        <w:t xml:space="preserve">        （</w:t>
      </w:r>
      <w:r>
        <w:rPr>
          <w:rFonts w:hint="eastAsia" w:ascii="宋体" w:hAnsi="宋体"/>
          <w:color w:val="auto"/>
          <w:highlight w:val="none"/>
          <w:u w:val="single"/>
        </w:rPr>
        <w:t>签字或盖章</w:t>
      </w:r>
      <w:r>
        <w:rPr>
          <w:rFonts w:hint="eastAsia" w:ascii="宋体" w:hAnsi="宋体"/>
          <w:color w:val="auto"/>
          <w:sz w:val="32"/>
          <w:szCs w:val="32"/>
          <w:highlight w:val="none"/>
          <w:u w:val="single"/>
        </w:rPr>
        <w:t>）</w:t>
      </w:r>
    </w:p>
    <w:p>
      <w:pPr>
        <w:spacing w:after="360" w:afterLines="150" w:line="480" w:lineRule="auto"/>
        <w:ind w:firstLine="627" w:firstLineChars="196"/>
        <w:jc w:val="center"/>
        <w:rPr>
          <w:rFonts w:ascii="宋体" w:hAnsi="宋体"/>
          <w:color w:val="auto"/>
          <w:sz w:val="32"/>
          <w:szCs w:val="32"/>
          <w:highlight w:val="none"/>
        </w:rPr>
      </w:pPr>
      <w:r>
        <w:rPr>
          <w:rFonts w:hint="eastAsia" w:ascii="宋体" w:hAnsi="宋体"/>
          <w:color w:val="auto"/>
          <w:sz w:val="32"/>
          <w:szCs w:val="32"/>
          <w:highlight w:val="none"/>
        </w:rPr>
        <w:t>日期：     年  月  日</w:t>
      </w:r>
    </w:p>
    <w:p>
      <w:pPr>
        <w:widowControl/>
        <w:rPr>
          <w:color w:val="auto"/>
          <w:highlight w:val="none"/>
        </w:rPr>
      </w:pPr>
      <w:r>
        <w:rPr>
          <w:color w:val="auto"/>
          <w:highlight w:val="none"/>
        </w:rPr>
        <w:br w:type="page"/>
      </w:r>
    </w:p>
    <w:p>
      <w:pPr>
        <w:spacing w:after="360" w:afterLines="150"/>
        <w:jc w:val="center"/>
        <w:rPr>
          <w:color w:val="auto"/>
          <w:sz w:val="30"/>
          <w:szCs w:val="30"/>
          <w:highlight w:val="none"/>
        </w:rPr>
      </w:pPr>
    </w:p>
    <w:p>
      <w:pPr>
        <w:pStyle w:val="15"/>
        <w:spacing w:line="360" w:lineRule="auto"/>
        <w:ind w:firstLine="602"/>
        <w:jc w:val="center"/>
        <w:rPr>
          <w:b/>
          <w:bCs/>
          <w:color w:val="auto"/>
          <w:sz w:val="36"/>
          <w:szCs w:val="36"/>
          <w:highlight w:val="none"/>
        </w:rPr>
      </w:pPr>
      <w:r>
        <w:rPr>
          <w:rFonts w:hint="eastAsia" w:hAnsi="宋体"/>
          <w:b/>
          <w:bCs/>
          <w:color w:val="auto"/>
          <w:sz w:val="36"/>
          <w:szCs w:val="36"/>
          <w:highlight w:val="none"/>
        </w:rPr>
        <w:t>目录</w:t>
      </w:r>
    </w:p>
    <w:p>
      <w:pPr>
        <w:autoSpaceDN/>
        <w:spacing w:line="360" w:lineRule="auto"/>
        <w:ind w:left="2599" w:leftChars="233" w:hanging="2040" w:hangingChars="850"/>
        <w:rPr>
          <w:rFonts w:ascii="宋体" w:hAnsi="宋体"/>
          <w:bCs/>
          <w:color w:val="auto"/>
          <w:highlight w:val="none"/>
        </w:rPr>
      </w:pPr>
      <w:r>
        <w:rPr>
          <w:rFonts w:hint="eastAsia" w:ascii="宋体" w:hAnsi="宋体"/>
          <w:bCs/>
          <w:color w:val="auto"/>
          <w:highlight w:val="none"/>
        </w:rPr>
        <w:t>1.投标人信用评价（投标截止之日绍兴建筑信用监管平台上最近一期公布的专业的施工总承包企业信用评价）</w:t>
      </w:r>
    </w:p>
    <w:p>
      <w:pPr>
        <w:autoSpaceDN/>
        <w:spacing w:line="360" w:lineRule="auto"/>
        <w:ind w:left="560"/>
        <w:rPr>
          <w:rFonts w:ascii="宋体" w:hAnsi="宋体"/>
          <w:bCs/>
          <w:color w:val="auto"/>
          <w:highlight w:val="none"/>
        </w:rPr>
      </w:pPr>
      <w:r>
        <w:rPr>
          <w:rFonts w:hint="eastAsia" w:ascii="宋体" w:hAnsi="宋体"/>
          <w:bCs/>
          <w:color w:val="auto"/>
          <w:highlight w:val="none"/>
        </w:rPr>
        <w:t>2.近年财务状况表（表1）</w:t>
      </w:r>
    </w:p>
    <w:p>
      <w:pPr>
        <w:autoSpaceDN/>
        <w:spacing w:line="360" w:lineRule="auto"/>
        <w:ind w:left="560"/>
        <w:rPr>
          <w:rFonts w:ascii="宋体" w:hAnsi="宋体"/>
          <w:bCs/>
          <w:color w:val="auto"/>
          <w:highlight w:val="none"/>
        </w:rPr>
      </w:pPr>
      <w:r>
        <w:rPr>
          <w:rFonts w:hint="eastAsia" w:ascii="宋体" w:hAnsi="宋体"/>
          <w:bCs/>
          <w:color w:val="auto"/>
          <w:highlight w:val="none"/>
        </w:rPr>
        <w:t>3.业绩汇总表（表2）（附相关业绩的证明材料，且需要准确详细列入）</w:t>
      </w:r>
    </w:p>
    <w:p>
      <w:pPr>
        <w:autoSpaceDN/>
        <w:spacing w:line="360" w:lineRule="auto"/>
        <w:ind w:left="560"/>
        <w:rPr>
          <w:rFonts w:ascii="宋体" w:hAnsi="宋体"/>
          <w:color w:val="auto"/>
          <w:highlight w:val="none"/>
        </w:rPr>
      </w:pPr>
      <w:r>
        <w:rPr>
          <w:rFonts w:hint="eastAsia" w:ascii="宋体" w:hAnsi="宋体"/>
          <w:bCs/>
          <w:color w:val="auto"/>
          <w:highlight w:val="none"/>
        </w:rPr>
        <w:t>4.</w:t>
      </w:r>
      <w:r>
        <w:rPr>
          <w:rFonts w:hint="eastAsia" w:ascii="宋体" w:hAnsi="宋体"/>
          <w:color w:val="auto"/>
          <w:highlight w:val="none"/>
        </w:rPr>
        <w:t>招标人要求提交的其他资料</w:t>
      </w:r>
      <w:r>
        <w:rPr>
          <w:rFonts w:hint="eastAsia" w:ascii="宋体" w:hAnsi="宋体"/>
          <w:bCs/>
          <w:color w:val="auto"/>
          <w:highlight w:val="none"/>
        </w:rPr>
        <w:t xml:space="preserve"> (资信)</w:t>
      </w:r>
      <w:r>
        <w:rPr>
          <w:rFonts w:hint="eastAsia" w:ascii="宋体" w:hAnsi="宋体"/>
          <w:color w:val="auto"/>
          <w:highlight w:val="none"/>
        </w:rPr>
        <w:t>。</w:t>
      </w:r>
    </w:p>
    <w:p>
      <w:pPr>
        <w:pStyle w:val="17"/>
        <w:rPr>
          <w:color w:val="auto"/>
          <w:highlight w:val="none"/>
        </w:rPr>
      </w:pPr>
    </w:p>
    <w:p>
      <w:pPr>
        <w:spacing w:after="360"/>
        <w:rPr>
          <w:color w:val="auto"/>
          <w:highlight w:val="none"/>
        </w:rPr>
      </w:pPr>
    </w:p>
    <w:p>
      <w:pPr>
        <w:widowControl/>
        <w:rPr>
          <w:color w:val="auto"/>
          <w:highlight w:val="none"/>
        </w:rPr>
      </w:pPr>
      <w:r>
        <w:rPr>
          <w:color w:val="auto"/>
          <w:highlight w:val="none"/>
        </w:rPr>
        <w:br w:type="page"/>
      </w:r>
    </w:p>
    <w:p>
      <w:pPr>
        <w:spacing w:line="360" w:lineRule="auto"/>
        <w:ind w:firstLine="361" w:firstLineChars="150"/>
        <w:jc w:val="center"/>
        <w:rPr>
          <w:rFonts w:hAnsi="宋体" w:cs="宋体"/>
          <w:b/>
          <w:bCs/>
          <w:color w:val="auto"/>
          <w:highlight w:val="none"/>
        </w:rPr>
      </w:pPr>
      <w:r>
        <w:rPr>
          <w:rFonts w:hint="eastAsia" w:ascii="宋体" w:hAnsi="宋体"/>
          <w:b/>
          <w:bCs/>
          <w:color w:val="auto"/>
          <w:highlight w:val="none"/>
        </w:rPr>
        <w:t>投标人信用评价</w:t>
      </w: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r>
        <w:rPr>
          <w:rFonts w:hint="eastAsia" w:ascii="宋体" w:hAnsi="宋体" w:cs="宋体"/>
          <w:color w:val="auto"/>
          <w:highlight w:val="none"/>
          <w:lang w:bidi="ar"/>
        </w:rPr>
        <w:t>（绍兴智慧建设平台截图加盖投标人公章）</w:t>
      </w: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p>
    <w:p>
      <w:pPr>
        <w:pStyle w:val="3"/>
        <w:rPr>
          <w:color w:val="auto"/>
          <w:highlight w:val="none"/>
        </w:rPr>
      </w:pPr>
    </w:p>
    <w:p>
      <w:pPr>
        <w:pStyle w:val="17"/>
        <w:rPr>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r>
        <w:rPr>
          <w:rFonts w:hint="eastAsia" w:ascii="宋体" w:hAnsi="宋体"/>
          <w:b/>
          <w:bCs/>
          <w:color w:val="auto"/>
          <w:highlight w:val="none"/>
        </w:rPr>
        <w:t>表1  近年财务状况表</w:t>
      </w:r>
    </w:p>
    <w:p>
      <w:pPr>
        <w:pStyle w:val="17"/>
        <w:rPr>
          <w:color w:val="auto"/>
          <w:highlight w:val="none"/>
        </w:rPr>
      </w:pPr>
      <w:r>
        <w:rPr>
          <w:rFonts w:hint="eastAsia"/>
          <w:color w:val="auto"/>
          <w:highlight w:val="none"/>
        </w:rPr>
        <w:t>（格式由投标人自拟）</w:t>
      </w: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jc w:val="both"/>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pStyle w:val="2"/>
        <w:rPr>
          <w:color w:val="auto"/>
          <w:highlight w:val="none"/>
        </w:rPr>
      </w:pPr>
    </w:p>
    <w:p>
      <w:pPr>
        <w:spacing w:line="360" w:lineRule="auto"/>
        <w:jc w:val="center"/>
        <w:rPr>
          <w:rFonts w:ascii="宋体" w:hAnsi="宋体"/>
          <w:b/>
          <w:bCs/>
          <w:color w:val="auto"/>
          <w:highlight w:val="none"/>
        </w:rPr>
      </w:pPr>
    </w:p>
    <w:p>
      <w:pPr>
        <w:spacing w:line="360" w:lineRule="auto"/>
        <w:jc w:val="center"/>
        <w:rPr>
          <w:rFonts w:ascii="宋体" w:hAnsi="宋体"/>
          <w:b/>
          <w:bCs/>
          <w:color w:val="auto"/>
          <w:highlight w:val="none"/>
        </w:rPr>
      </w:pPr>
      <w:r>
        <w:rPr>
          <w:rFonts w:hint="eastAsia" w:ascii="宋体" w:hAnsi="宋体"/>
          <w:b/>
          <w:bCs/>
          <w:color w:val="auto"/>
          <w:highlight w:val="none"/>
        </w:rPr>
        <w:t>表2  （一）业绩汇总表（评分业绩的汇总）</w:t>
      </w:r>
    </w:p>
    <w:tbl>
      <w:tblPr>
        <w:tblStyle w:val="18"/>
        <w:tblW w:w="9454" w:type="dxa"/>
        <w:tblInd w:w="-31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8"/>
        <w:gridCol w:w="1843"/>
        <w:gridCol w:w="1417"/>
        <w:gridCol w:w="1276"/>
        <w:gridCol w:w="1745"/>
        <w:gridCol w:w="1255"/>
        <w:gridCol w:w="119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00" w:hRule="atLeast"/>
        </w:trPr>
        <w:tc>
          <w:tcPr>
            <w:tcW w:w="728" w:type="dxa"/>
            <w:tcBorders>
              <w:top w:val="single" w:color="000000" w:sz="12" w:space="0"/>
              <w:left w:val="single" w:color="000000" w:sz="12" w:space="0"/>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序号</w:t>
            </w:r>
          </w:p>
        </w:tc>
        <w:tc>
          <w:tcPr>
            <w:tcW w:w="1843"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该业绩证明对象</w:t>
            </w:r>
          </w:p>
        </w:tc>
        <w:tc>
          <w:tcPr>
            <w:tcW w:w="1417"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项目名称</w:t>
            </w:r>
          </w:p>
        </w:tc>
        <w:tc>
          <w:tcPr>
            <w:tcW w:w="1276"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建设单位（项目业主）</w:t>
            </w:r>
          </w:p>
        </w:tc>
        <w:tc>
          <w:tcPr>
            <w:tcW w:w="1745"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与评审有关的时间、规模、技术指标及其他要求</w:t>
            </w:r>
          </w:p>
        </w:tc>
        <w:tc>
          <w:tcPr>
            <w:tcW w:w="1255"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提交证明材料内容</w:t>
            </w:r>
          </w:p>
        </w:tc>
        <w:tc>
          <w:tcPr>
            <w:tcW w:w="1190" w:type="dxa"/>
            <w:tcBorders>
              <w:top w:val="single" w:color="000000" w:sz="12" w:space="0"/>
              <w:left w:val="nil"/>
              <w:bottom w:val="single" w:color="000000" w:sz="6" w:space="0"/>
              <w:right w:val="single" w:color="000000" w:sz="12" w:space="0"/>
            </w:tcBorders>
            <w:vAlign w:val="center"/>
          </w:tcPr>
          <w:p>
            <w:pPr>
              <w:kinsoku w:val="0"/>
              <w:spacing w:line="320" w:lineRule="exact"/>
              <w:jc w:val="center"/>
              <w:rPr>
                <w:rFonts w:hAnsi="宋体"/>
                <w:color w:val="auto"/>
                <w:highlight w:val="none"/>
              </w:rPr>
            </w:pPr>
            <w:r>
              <w:rPr>
                <w:rFonts w:hint="eastAsia" w:hAnsi="宋体"/>
                <w:color w:val="auto"/>
                <w:highlight w:val="none"/>
              </w:rPr>
              <w:t>在投标文件的位置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72" w:hRule="atLeast"/>
        </w:trPr>
        <w:tc>
          <w:tcPr>
            <w:tcW w:w="728" w:type="dxa"/>
            <w:tcBorders>
              <w:top w:val="single" w:color="000000" w:sz="6" w:space="0"/>
              <w:left w:val="single" w:color="000000" w:sz="12" w:space="0"/>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Ansi="宋体"/>
                <w:color w:val="auto"/>
                <w:highlight w:val="none"/>
              </w:rPr>
              <w:t>1</w:t>
            </w:r>
          </w:p>
        </w:tc>
        <w:tc>
          <w:tcPr>
            <w:tcW w:w="1843"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例如：企业名称或</w:t>
            </w:r>
            <w:r>
              <w:rPr>
                <w:rFonts w:hint="eastAsia" w:ascii="宋体" w:hAnsi="宋体"/>
                <w:color w:val="auto"/>
                <w:highlight w:val="none"/>
              </w:rPr>
              <w:t>项目负责人</w:t>
            </w:r>
            <w:r>
              <w:rPr>
                <w:rFonts w:hint="eastAsia" w:hAnsi="宋体"/>
                <w:color w:val="auto"/>
                <w:highlight w:val="none"/>
              </w:rPr>
              <w:t>或技术负责人名字等</w:t>
            </w:r>
          </w:p>
        </w:tc>
        <w:tc>
          <w:tcPr>
            <w:tcW w:w="1417"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例如：</w:t>
            </w:r>
            <w:r>
              <w:rPr>
                <w:rFonts w:hAnsi="宋体"/>
                <w:color w:val="auto"/>
                <w:highlight w:val="none"/>
              </w:rPr>
              <w:t>XX</w:t>
            </w:r>
            <w:r>
              <w:rPr>
                <w:rFonts w:hint="eastAsia" w:hAnsi="宋体"/>
                <w:color w:val="auto"/>
                <w:highlight w:val="none"/>
              </w:rPr>
              <w:t>工程等</w:t>
            </w:r>
          </w:p>
        </w:tc>
        <w:tc>
          <w:tcPr>
            <w:tcW w:w="1276"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例如：</w:t>
            </w:r>
            <w:r>
              <w:rPr>
                <w:rFonts w:hAnsi="宋体"/>
                <w:color w:val="auto"/>
                <w:highlight w:val="none"/>
              </w:rPr>
              <w:t>XX</w:t>
            </w:r>
            <w:r>
              <w:rPr>
                <w:rFonts w:hint="eastAsia" w:hAnsi="宋体"/>
                <w:color w:val="auto"/>
                <w:highlight w:val="none"/>
              </w:rPr>
              <w:t>公司或指挥部等</w:t>
            </w:r>
          </w:p>
        </w:tc>
        <w:tc>
          <w:tcPr>
            <w:tcW w:w="1745"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例如：</w:t>
            </w:r>
            <w:r>
              <w:rPr>
                <w:rFonts w:hAnsi="宋体"/>
                <w:color w:val="auto"/>
                <w:highlight w:val="none"/>
              </w:rPr>
              <w:t>X</w:t>
            </w:r>
            <w:r>
              <w:rPr>
                <w:rFonts w:hint="eastAsia" w:hAnsi="宋体"/>
                <w:color w:val="auto"/>
                <w:highlight w:val="none"/>
              </w:rPr>
              <w:t>年</w:t>
            </w:r>
            <w:r>
              <w:rPr>
                <w:rFonts w:hAnsi="宋体"/>
                <w:color w:val="auto"/>
                <w:highlight w:val="none"/>
              </w:rPr>
              <w:t>X</w:t>
            </w:r>
            <w:r>
              <w:rPr>
                <w:rFonts w:hint="eastAsia" w:hAnsi="宋体"/>
                <w:color w:val="auto"/>
                <w:highlight w:val="none"/>
              </w:rPr>
              <w:t>月</w:t>
            </w:r>
            <w:r>
              <w:rPr>
                <w:rFonts w:hAnsi="宋体"/>
                <w:color w:val="auto"/>
                <w:highlight w:val="none"/>
              </w:rPr>
              <w:t>X</w:t>
            </w:r>
            <w:r>
              <w:rPr>
                <w:rFonts w:hint="eastAsia" w:hAnsi="宋体"/>
                <w:color w:val="auto"/>
                <w:highlight w:val="none"/>
              </w:rPr>
              <w:t>日完成，长度或深度</w:t>
            </w:r>
            <w:r>
              <w:rPr>
                <w:rFonts w:hAnsi="宋体"/>
                <w:color w:val="auto"/>
                <w:highlight w:val="none"/>
              </w:rPr>
              <w:t>X</w:t>
            </w:r>
            <w:r>
              <w:rPr>
                <w:rFonts w:hint="eastAsia" w:hAnsi="宋体"/>
                <w:color w:val="auto"/>
                <w:highlight w:val="none"/>
              </w:rPr>
              <w:t>米等</w:t>
            </w:r>
          </w:p>
        </w:tc>
        <w:tc>
          <w:tcPr>
            <w:tcW w:w="1255"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hAnsi="宋体"/>
                <w:color w:val="auto"/>
                <w:highlight w:val="none"/>
              </w:rPr>
              <w:t>例如：施工合同或中标通知书等</w:t>
            </w:r>
          </w:p>
        </w:tc>
        <w:tc>
          <w:tcPr>
            <w:tcW w:w="1190" w:type="dxa"/>
            <w:tcBorders>
              <w:top w:val="single" w:color="000000" w:sz="6" w:space="0"/>
              <w:left w:val="nil"/>
              <w:bottom w:val="single" w:color="000000" w:sz="6" w:space="0"/>
              <w:right w:val="single" w:color="000000" w:sz="12" w:space="0"/>
            </w:tcBorders>
            <w:vAlign w:val="center"/>
          </w:tcPr>
          <w:p>
            <w:pPr>
              <w:kinsoku w:val="0"/>
              <w:spacing w:line="320" w:lineRule="exact"/>
              <w:jc w:val="center"/>
              <w:rPr>
                <w:rFonts w:hAnsi="宋体"/>
                <w:color w:val="auto"/>
                <w:highlight w:val="none"/>
              </w:rPr>
            </w:pPr>
            <w:r>
              <w:rPr>
                <w:rFonts w:hint="eastAsia" w:hAnsi="宋体"/>
                <w:color w:val="auto"/>
                <w:highlight w:val="none"/>
              </w:rPr>
              <w:t>例如：投标文件第</w:t>
            </w:r>
            <w:r>
              <w:rPr>
                <w:rFonts w:hAnsi="宋体"/>
                <w:color w:val="auto"/>
                <w:highlight w:val="none"/>
              </w:rPr>
              <w:t>X</w:t>
            </w:r>
            <w:r>
              <w:rPr>
                <w:rFonts w:hint="eastAsia" w:hAnsi="宋体"/>
                <w:color w:val="auto"/>
                <w:highlight w:val="none"/>
              </w:rPr>
              <w:t>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3" w:hRule="atLeast"/>
        </w:trPr>
        <w:tc>
          <w:tcPr>
            <w:tcW w:w="728" w:type="dxa"/>
            <w:tcBorders>
              <w:top w:val="single" w:color="000000" w:sz="6" w:space="0"/>
              <w:left w:val="single" w:color="000000" w:sz="12" w:space="0"/>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Ansi="宋体"/>
                <w:color w:val="auto"/>
                <w:highlight w:val="none"/>
              </w:rPr>
              <w:t>2</w:t>
            </w:r>
          </w:p>
        </w:tc>
        <w:tc>
          <w:tcPr>
            <w:tcW w:w="1843"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r>
              <w:rPr>
                <w:rFonts w:hint="eastAsia" w:ascii="宋体" w:hAnsi="宋体"/>
                <w:color w:val="auto"/>
                <w:highlight w:val="none"/>
              </w:rPr>
              <w:t>……</w:t>
            </w:r>
          </w:p>
        </w:tc>
        <w:tc>
          <w:tcPr>
            <w:tcW w:w="1417"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p>
        </w:tc>
        <w:tc>
          <w:tcPr>
            <w:tcW w:w="1276"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p>
        </w:tc>
        <w:tc>
          <w:tcPr>
            <w:tcW w:w="1745"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p>
        </w:tc>
        <w:tc>
          <w:tcPr>
            <w:tcW w:w="1255"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hAnsi="宋体"/>
                <w:color w:val="auto"/>
                <w:highlight w:val="none"/>
              </w:rPr>
            </w:pPr>
          </w:p>
        </w:tc>
        <w:tc>
          <w:tcPr>
            <w:tcW w:w="1190" w:type="dxa"/>
            <w:tcBorders>
              <w:top w:val="single" w:color="000000" w:sz="6" w:space="0"/>
              <w:left w:val="nil"/>
              <w:bottom w:val="single" w:color="000000" w:sz="6" w:space="0"/>
              <w:right w:val="single" w:color="000000" w:sz="12" w:space="0"/>
            </w:tcBorders>
            <w:vAlign w:val="center"/>
          </w:tcPr>
          <w:p>
            <w:pPr>
              <w:spacing w:line="320" w:lineRule="exact"/>
              <w:jc w:val="center"/>
              <w:rPr>
                <w:rFonts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728" w:type="dxa"/>
            <w:tcBorders>
              <w:top w:val="single" w:color="000000" w:sz="6" w:space="0"/>
              <w:left w:val="single" w:color="000000" w:sz="12" w:space="0"/>
              <w:bottom w:val="single" w:color="000000" w:sz="12" w:space="0"/>
              <w:right w:val="single" w:color="000000" w:sz="6" w:space="0"/>
            </w:tcBorders>
            <w:vAlign w:val="center"/>
          </w:tcPr>
          <w:p>
            <w:pPr>
              <w:spacing w:line="320" w:lineRule="exact"/>
              <w:jc w:val="center"/>
              <w:rPr>
                <w:rFonts w:hAnsi="宋体"/>
                <w:color w:val="auto"/>
                <w:highlight w:val="none"/>
              </w:rPr>
            </w:pPr>
          </w:p>
        </w:tc>
        <w:tc>
          <w:tcPr>
            <w:tcW w:w="1843" w:type="dxa"/>
            <w:tcBorders>
              <w:top w:val="single" w:color="000000" w:sz="6" w:space="0"/>
              <w:left w:val="nil"/>
              <w:bottom w:val="single" w:color="000000" w:sz="12" w:space="0"/>
              <w:right w:val="single" w:color="000000" w:sz="6" w:space="0"/>
            </w:tcBorders>
            <w:vAlign w:val="center"/>
          </w:tcPr>
          <w:p>
            <w:pPr>
              <w:kinsoku w:val="0"/>
              <w:spacing w:line="320" w:lineRule="exact"/>
              <w:jc w:val="center"/>
              <w:rPr>
                <w:rFonts w:hAnsi="宋体"/>
                <w:color w:val="auto"/>
                <w:highlight w:val="none"/>
              </w:rPr>
            </w:pPr>
          </w:p>
        </w:tc>
        <w:tc>
          <w:tcPr>
            <w:tcW w:w="1417" w:type="dxa"/>
            <w:tcBorders>
              <w:top w:val="single" w:color="000000" w:sz="6" w:space="0"/>
              <w:left w:val="nil"/>
              <w:bottom w:val="single" w:color="000000" w:sz="12" w:space="0"/>
              <w:right w:val="single" w:color="000000" w:sz="6" w:space="0"/>
            </w:tcBorders>
            <w:vAlign w:val="center"/>
          </w:tcPr>
          <w:p>
            <w:pPr>
              <w:kinsoku w:val="0"/>
              <w:spacing w:line="320" w:lineRule="exact"/>
              <w:jc w:val="center"/>
              <w:rPr>
                <w:rFonts w:hAnsi="宋体"/>
                <w:color w:val="auto"/>
                <w:highlight w:val="none"/>
              </w:rPr>
            </w:pPr>
          </w:p>
        </w:tc>
        <w:tc>
          <w:tcPr>
            <w:tcW w:w="1276" w:type="dxa"/>
            <w:tcBorders>
              <w:top w:val="single" w:color="000000" w:sz="6" w:space="0"/>
              <w:left w:val="nil"/>
              <w:bottom w:val="single" w:color="000000" w:sz="12" w:space="0"/>
              <w:right w:val="single" w:color="000000" w:sz="6" w:space="0"/>
            </w:tcBorders>
            <w:vAlign w:val="center"/>
          </w:tcPr>
          <w:p>
            <w:pPr>
              <w:spacing w:line="320" w:lineRule="exact"/>
              <w:jc w:val="center"/>
              <w:rPr>
                <w:rFonts w:hAnsi="宋体"/>
                <w:color w:val="auto"/>
                <w:highlight w:val="none"/>
              </w:rPr>
            </w:pPr>
          </w:p>
        </w:tc>
        <w:tc>
          <w:tcPr>
            <w:tcW w:w="1745" w:type="dxa"/>
            <w:tcBorders>
              <w:top w:val="single" w:color="000000" w:sz="6" w:space="0"/>
              <w:left w:val="nil"/>
              <w:bottom w:val="single" w:color="000000" w:sz="12" w:space="0"/>
              <w:right w:val="single" w:color="000000" w:sz="6" w:space="0"/>
            </w:tcBorders>
            <w:vAlign w:val="center"/>
          </w:tcPr>
          <w:p>
            <w:pPr>
              <w:spacing w:line="320" w:lineRule="exact"/>
              <w:jc w:val="center"/>
              <w:rPr>
                <w:rFonts w:hAnsi="宋体"/>
                <w:color w:val="auto"/>
                <w:highlight w:val="none"/>
              </w:rPr>
            </w:pPr>
          </w:p>
        </w:tc>
        <w:tc>
          <w:tcPr>
            <w:tcW w:w="1255" w:type="dxa"/>
            <w:tcBorders>
              <w:top w:val="single" w:color="000000" w:sz="6" w:space="0"/>
              <w:left w:val="nil"/>
              <w:bottom w:val="single" w:color="000000" w:sz="12" w:space="0"/>
              <w:right w:val="single" w:color="000000" w:sz="6" w:space="0"/>
            </w:tcBorders>
            <w:vAlign w:val="center"/>
          </w:tcPr>
          <w:p>
            <w:pPr>
              <w:spacing w:line="320" w:lineRule="exact"/>
              <w:jc w:val="center"/>
              <w:rPr>
                <w:rFonts w:hAnsi="宋体"/>
                <w:color w:val="auto"/>
                <w:highlight w:val="none"/>
              </w:rPr>
            </w:pPr>
          </w:p>
        </w:tc>
        <w:tc>
          <w:tcPr>
            <w:tcW w:w="1190" w:type="dxa"/>
            <w:tcBorders>
              <w:top w:val="single" w:color="000000" w:sz="6" w:space="0"/>
              <w:left w:val="nil"/>
              <w:bottom w:val="single" w:color="000000" w:sz="12" w:space="0"/>
              <w:right w:val="single" w:color="000000" w:sz="12" w:space="0"/>
            </w:tcBorders>
            <w:vAlign w:val="center"/>
          </w:tcPr>
          <w:p>
            <w:pPr>
              <w:spacing w:line="320" w:lineRule="exact"/>
              <w:jc w:val="center"/>
              <w:rPr>
                <w:rFonts w:hAnsi="宋体"/>
                <w:color w:val="auto"/>
                <w:highlight w:val="none"/>
              </w:rPr>
            </w:pPr>
          </w:p>
        </w:tc>
      </w:tr>
    </w:tbl>
    <w:p>
      <w:pPr>
        <w:autoSpaceDN/>
        <w:spacing w:after="360" w:afterLines="150"/>
        <w:ind w:left="1146" w:hanging="1347"/>
        <w:jc w:val="both"/>
        <w:rPr>
          <w:color w:val="auto"/>
          <w:highlight w:val="none"/>
        </w:rPr>
      </w:pPr>
      <w:r>
        <w:rPr>
          <w:rFonts w:hint="eastAsia" w:ascii="宋体" w:hAnsi="宋体"/>
          <w:color w:val="auto"/>
          <w:highlight w:val="none"/>
        </w:rPr>
        <w:t>备注：不录入此表的不作为评审依据。</w:t>
      </w:r>
    </w:p>
    <w:p>
      <w:pPr>
        <w:widowControl/>
        <w:autoSpaceDN/>
        <w:rPr>
          <w:rFonts w:hAnsi="宋体" w:cs="宋体"/>
          <w:b/>
          <w:bCs/>
          <w:color w:val="auto"/>
          <w:sz w:val="44"/>
          <w:szCs w:val="44"/>
          <w:highlight w:val="none"/>
        </w:rPr>
      </w:pPr>
      <w:r>
        <w:rPr>
          <w:rFonts w:hAnsi="宋体" w:cs="宋体"/>
          <w:b/>
          <w:bCs/>
          <w:color w:val="auto"/>
          <w:sz w:val="44"/>
          <w:szCs w:val="44"/>
          <w:highlight w:val="none"/>
        </w:rPr>
        <w:br w:type="page"/>
      </w:r>
    </w:p>
    <w:p>
      <w:pPr>
        <w:spacing w:line="440" w:lineRule="exact"/>
        <w:ind w:firstLine="4802" w:firstLineChars="2000"/>
        <w:rPr>
          <w:rFonts w:ascii="Microsoft JhengHei" w:eastAsia="Microsoft JhengHei"/>
          <w:b/>
          <w:bCs/>
          <w:color w:val="auto"/>
          <w:highlight w:val="none"/>
        </w:rPr>
      </w:pPr>
    </w:p>
    <w:p>
      <w:pPr>
        <w:spacing w:line="360" w:lineRule="auto"/>
        <w:jc w:val="center"/>
        <w:rPr>
          <w:color w:val="auto"/>
          <w:sz w:val="72"/>
          <w:szCs w:val="72"/>
          <w:highlight w:val="none"/>
        </w:rPr>
      </w:pPr>
      <w:r>
        <w:rPr>
          <w:rFonts w:hint="eastAsia" w:ascii="宋体" w:hAnsi="宋体"/>
          <w:color w:val="auto"/>
          <w:sz w:val="72"/>
          <w:szCs w:val="72"/>
          <w:highlight w:val="none"/>
        </w:rPr>
        <w:t>施工投标文件</w:t>
      </w:r>
    </w:p>
    <w:p>
      <w:pPr>
        <w:jc w:val="center"/>
        <w:rPr>
          <w:color w:val="auto"/>
          <w:sz w:val="32"/>
          <w:szCs w:val="32"/>
          <w:highlight w:val="none"/>
        </w:rPr>
      </w:pPr>
      <w:r>
        <w:rPr>
          <w:rFonts w:hint="eastAsia" w:ascii="宋体" w:hAnsi="宋体"/>
          <w:color w:val="auto"/>
          <w:sz w:val="32"/>
          <w:szCs w:val="32"/>
          <w:highlight w:val="none"/>
        </w:rPr>
        <w:t>（封面）</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480" w:lineRule="auto"/>
        <w:jc w:val="center"/>
        <w:rPr>
          <w:color w:val="auto"/>
          <w:sz w:val="32"/>
          <w:szCs w:val="32"/>
          <w:highlight w:val="none"/>
        </w:rPr>
      </w:pPr>
    </w:p>
    <w:p>
      <w:pPr>
        <w:spacing w:after="360" w:afterLines="150" w:line="480" w:lineRule="auto"/>
        <w:ind w:firstLine="627" w:firstLineChars="196"/>
        <w:rPr>
          <w:color w:val="auto"/>
          <w:sz w:val="32"/>
          <w:szCs w:val="32"/>
          <w:highlight w:val="none"/>
        </w:rPr>
      </w:pPr>
      <w:r>
        <w:rPr>
          <w:rFonts w:hint="eastAsia" w:ascii="宋体" w:hAnsi="宋体"/>
          <w:color w:val="auto"/>
          <w:sz w:val="32"/>
          <w:szCs w:val="32"/>
          <w:highlight w:val="none"/>
        </w:rPr>
        <w:t>工程名称：</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 xml:space="preserve">   </w:t>
      </w:r>
    </w:p>
    <w:p>
      <w:pPr>
        <w:spacing w:after="360" w:afterLines="150" w:line="480" w:lineRule="auto"/>
        <w:ind w:firstLine="627" w:firstLineChars="196"/>
        <w:rPr>
          <w:color w:val="auto"/>
          <w:sz w:val="32"/>
          <w:szCs w:val="32"/>
          <w:highlight w:val="none"/>
        </w:rPr>
      </w:pPr>
      <w:r>
        <w:rPr>
          <w:rFonts w:hint="eastAsia" w:ascii="宋体" w:hAnsi="宋体"/>
          <w:color w:val="auto"/>
          <w:sz w:val="32"/>
          <w:szCs w:val="32"/>
          <w:highlight w:val="none"/>
        </w:rPr>
        <w:t>投标文件内容：</w:t>
      </w:r>
      <w:r>
        <w:rPr>
          <w:rFonts w:hint="eastAsia" w:ascii="宋体" w:hAnsi="宋体"/>
          <w:color w:val="auto"/>
          <w:highlight w:val="none"/>
          <w:u w:val="single"/>
        </w:rPr>
        <w:t xml:space="preserve">投标文件资格审查资料                 </w:t>
      </w:r>
    </w:p>
    <w:p>
      <w:pPr>
        <w:spacing w:after="360" w:afterLines="150" w:line="480" w:lineRule="auto"/>
        <w:ind w:firstLine="627" w:firstLineChars="196"/>
        <w:rPr>
          <w:color w:val="auto"/>
          <w:sz w:val="32"/>
          <w:szCs w:val="32"/>
          <w:highlight w:val="none"/>
        </w:rPr>
      </w:pPr>
      <w:r>
        <w:rPr>
          <w:rFonts w:hint="eastAsia" w:ascii="宋体" w:hAnsi="宋体"/>
          <w:color w:val="auto"/>
          <w:sz w:val="32"/>
          <w:szCs w:val="32"/>
          <w:highlight w:val="none"/>
        </w:rPr>
        <w:t>投标人：</w:t>
      </w:r>
      <w:r>
        <w:rPr>
          <w:rFonts w:hint="eastAsia" w:ascii="宋体" w:hAnsi="宋体"/>
          <w:color w:val="auto"/>
          <w:sz w:val="32"/>
          <w:szCs w:val="32"/>
          <w:highlight w:val="none"/>
          <w:u w:val="single"/>
        </w:rPr>
        <w:t xml:space="preserve">                       （单位盖章）</w:t>
      </w:r>
    </w:p>
    <w:p>
      <w:pPr>
        <w:spacing w:after="360" w:afterLines="150" w:line="480" w:lineRule="auto"/>
        <w:ind w:firstLine="627" w:firstLineChars="196"/>
        <w:rPr>
          <w:color w:val="auto"/>
          <w:sz w:val="32"/>
          <w:szCs w:val="32"/>
          <w:highlight w:val="none"/>
        </w:rPr>
      </w:pPr>
      <w:r>
        <w:rPr>
          <w:rFonts w:hint="eastAsia" w:ascii="宋体" w:hAnsi="宋体"/>
          <w:color w:val="auto"/>
          <w:sz w:val="32"/>
          <w:szCs w:val="32"/>
          <w:highlight w:val="none"/>
        </w:rPr>
        <w:t>法定代表人或委托代理人</w:t>
      </w:r>
      <w:r>
        <w:rPr>
          <w:rFonts w:hint="eastAsia" w:ascii="宋体" w:hAnsi="宋体"/>
          <w:color w:val="auto"/>
          <w:sz w:val="32"/>
          <w:szCs w:val="32"/>
          <w:highlight w:val="none"/>
          <w:u w:val="single"/>
        </w:rPr>
        <w:t>：       （</w:t>
      </w:r>
      <w:r>
        <w:rPr>
          <w:rFonts w:hint="eastAsia" w:ascii="宋体" w:hAnsi="宋体" w:cs="Courier New"/>
          <w:color w:val="auto"/>
          <w:highlight w:val="none"/>
          <w:u w:val="single"/>
        </w:rPr>
        <w:t>签字或盖章</w:t>
      </w:r>
      <w:r>
        <w:rPr>
          <w:rFonts w:hint="eastAsia" w:ascii="宋体" w:hAnsi="宋体"/>
          <w:color w:val="auto"/>
          <w:sz w:val="32"/>
          <w:szCs w:val="32"/>
          <w:highlight w:val="none"/>
          <w:u w:val="single"/>
        </w:rPr>
        <w:t>）</w:t>
      </w:r>
    </w:p>
    <w:p>
      <w:pPr>
        <w:spacing w:after="360" w:afterLines="150" w:line="480" w:lineRule="auto"/>
        <w:ind w:firstLine="627" w:firstLineChars="196"/>
        <w:jc w:val="center"/>
        <w:rPr>
          <w:color w:val="auto"/>
          <w:sz w:val="32"/>
          <w:szCs w:val="32"/>
          <w:highlight w:val="none"/>
        </w:rPr>
      </w:pPr>
      <w:r>
        <w:rPr>
          <w:rFonts w:hint="eastAsia" w:ascii="宋体" w:hAnsi="宋体"/>
          <w:color w:val="auto"/>
          <w:sz w:val="32"/>
          <w:szCs w:val="32"/>
          <w:highlight w:val="none"/>
        </w:rPr>
        <w:t>日期：    年   月   日</w:t>
      </w:r>
    </w:p>
    <w:p>
      <w:pPr>
        <w:widowControl/>
        <w:autoSpaceDN/>
        <w:jc w:val="center"/>
        <w:rPr>
          <w:rFonts w:ascii="宋体" w:hAnsi="宋体"/>
          <w:bCs/>
          <w:color w:val="auto"/>
          <w:highlight w:val="none"/>
        </w:rPr>
      </w:pPr>
      <w:r>
        <w:rPr>
          <w:rFonts w:hint="eastAsia" w:ascii="宋体" w:hAnsi="宋体"/>
          <w:bCs/>
          <w:color w:val="auto"/>
          <w:highlight w:val="none"/>
        </w:rPr>
        <w:br w:type="page"/>
      </w:r>
      <w:r>
        <w:rPr>
          <w:rFonts w:hint="eastAsia" w:hAnsi="宋体"/>
          <w:b/>
          <w:bCs/>
          <w:color w:val="auto"/>
          <w:sz w:val="36"/>
          <w:szCs w:val="36"/>
          <w:highlight w:val="none"/>
        </w:rPr>
        <w:t>目录</w:t>
      </w:r>
    </w:p>
    <w:p>
      <w:pPr>
        <w:autoSpaceDN/>
        <w:spacing w:line="360" w:lineRule="auto"/>
        <w:ind w:left="560"/>
        <w:rPr>
          <w:rFonts w:ascii="宋体" w:hAnsi="宋体"/>
          <w:bCs/>
          <w:color w:val="auto"/>
          <w:highlight w:val="none"/>
        </w:rPr>
      </w:pPr>
      <w:r>
        <w:rPr>
          <w:rFonts w:hint="eastAsia" w:ascii="宋体" w:hAnsi="宋体"/>
          <w:bCs/>
          <w:color w:val="auto"/>
          <w:highlight w:val="none"/>
        </w:rPr>
        <w:t>1.投标人基本情况（表1）</w:t>
      </w:r>
    </w:p>
    <w:p>
      <w:pPr>
        <w:autoSpaceDN/>
        <w:spacing w:line="360" w:lineRule="auto"/>
        <w:ind w:left="560"/>
        <w:rPr>
          <w:rFonts w:ascii="宋体" w:hAnsi="宋体"/>
          <w:bCs/>
          <w:color w:val="auto"/>
          <w:highlight w:val="none"/>
        </w:rPr>
      </w:pPr>
      <w:r>
        <w:rPr>
          <w:rFonts w:hint="eastAsia" w:ascii="宋体" w:hAnsi="宋体"/>
          <w:bCs/>
          <w:color w:val="auto"/>
          <w:highlight w:val="none"/>
        </w:rPr>
        <w:t>2.投标承诺书</w:t>
      </w:r>
    </w:p>
    <w:p>
      <w:pPr>
        <w:autoSpaceDN/>
        <w:spacing w:line="360" w:lineRule="auto"/>
        <w:ind w:left="560"/>
        <w:rPr>
          <w:rFonts w:ascii="宋体" w:hAnsi="宋体"/>
          <w:bCs/>
          <w:color w:val="auto"/>
          <w:highlight w:val="none"/>
        </w:rPr>
      </w:pPr>
      <w:r>
        <w:rPr>
          <w:rFonts w:hint="eastAsia" w:ascii="宋体" w:hAnsi="宋体"/>
          <w:bCs/>
          <w:color w:val="auto"/>
          <w:highlight w:val="none"/>
        </w:rPr>
        <w:t>3.法定代表人身份证明书</w:t>
      </w:r>
    </w:p>
    <w:p>
      <w:pPr>
        <w:autoSpaceDN/>
        <w:spacing w:line="360" w:lineRule="auto"/>
        <w:ind w:left="560"/>
        <w:rPr>
          <w:rFonts w:ascii="宋体" w:hAnsi="宋体"/>
          <w:bCs/>
          <w:color w:val="auto"/>
          <w:highlight w:val="none"/>
        </w:rPr>
      </w:pPr>
      <w:r>
        <w:rPr>
          <w:rFonts w:hint="eastAsia" w:ascii="宋体" w:hAnsi="宋体"/>
          <w:bCs/>
          <w:color w:val="auto"/>
          <w:highlight w:val="none"/>
        </w:rPr>
        <w:t>4.授权委托书（若有）</w:t>
      </w:r>
    </w:p>
    <w:p>
      <w:pPr>
        <w:autoSpaceDN/>
        <w:spacing w:line="360" w:lineRule="auto"/>
        <w:ind w:left="560"/>
        <w:rPr>
          <w:rFonts w:ascii="宋体" w:hAnsi="宋体"/>
          <w:bCs/>
          <w:color w:val="auto"/>
          <w:highlight w:val="none"/>
        </w:rPr>
      </w:pPr>
      <w:r>
        <w:rPr>
          <w:rFonts w:hint="eastAsia" w:ascii="宋体" w:hAnsi="宋体"/>
          <w:bCs/>
          <w:color w:val="auto"/>
          <w:highlight w:val="none"/>
        </w:rPr>
        <w:t>5.资格业绩材料（若有）：含业绩汇总表（资格后审业绩条件的汇总）及相关附件；</w:t>
      </w:r>
    </w:p>
    <w:p>
      <w:pPr>
        <w:autoSpaceDN/>
        <w:spacing w:line="360" w:lineRule="auto"/>
        <w:ind w:left="560"/>
        <w:rPr>
          <w:rFonts w:ascii="宋体" w:hAnsi="宋体"/>
          <w:bCs/>
          <w:color w:val="auto"/>
          <w:highlight w:val="none"/>
        </w:rPr>
      </w:pPr>
      <w:r>
        <w:rPr>
          <w:rFonts w:hint="eastAsia" w:ascii="宋体" w:hAnsi="宋体"/>
          <w:bCs/>
          <w:color w:val="auto"/>
          <w:highlight w:val="none"/>
        </w:rPr>
        <w:t>6.联合体协议书</w:t>
      </w:r>
      <w:r>
        <w:rPr>
          <w:rFonts w:hint="eastAsia" w:ascii="宋体" w:hAnsi="宋体"/>
          <w:bCs/>
          <w:color w:val="auto"/>
          <w:highlight w:val="none"/>
          <w:lang w:eastAsia="zh-CN"/>
        </w:rPr>
        <w:t>（</w:t>
      </w:r>
      <w:r>
        <w:rPr>
          <w:rFonts w:hint="eastAsia" w:ascii="宋体" w:hAnsi="宋体"/>
          <w:bCs/>
          <w:color w:val="auto"/>
          <w:highlight w:val="none"/>
          <w:lang w:val="en-US" w:eastAsia="zh-CN"/>
        </w:rPr>
        <w:t>若有</w:t>
      </w:r>
      <w:r>
        <w:rPr>
          <w:rFonts w:hint="eastAsia" w:ascii="宋体" w:hAnsi="宋体"/>
          <w:bCs/>
          <w:color w:val="auto"/>
          <w:highlight w:val="none"/>
          <w:lang w:eastAsia="zh-CN"/>
        </w:rPr>
        <w:t>）</w:t>
      </w:r>
      <w:r>
        <w:rPr>
          <w:rFonts w:hint="eastAsia" w:ascii="宋体" w:hAnsi="宋体"/>
          <w:bCs/>
          <w:color w:val="auto"/>
          <w:highlight w:val="none"/>
        </w:rPr>
        <w:t>；</w:t>
      </w:r>
    </w:p>
    <w:p>
      <w:pPr>
        <w:autoSpaceDN/>
        <w:spacing w:line="360" w:lineRule="auto"/>
        <w:ind w:left="560"/>
        <w:rPr>
          <w:rFonts w:ascii="宋体" w:hAnsi="宋体"/>
          <w:bCs/>
          <w:color w:val="auto"/>
          <w:highlight w:val="none"/>
        </w:rPr>
      </w:pPr>
      <w:r>
        <w:rPr>
          <w:rFonts w:hint="eastAsia" w:ascii="宋体" w:hAnsi="宋体"/>
          <w:bCs/>
          <w:color w:val="auto"/>
          <w:highlight w:val="none"/>
        </w:rPr>
        <w:t>7.投标保证金；</w:t>
      </w:r>
    </w:p>
    <w:p>
      <w:pPr>
        <w:autoSpaceDN/>
        <w:spacing w:line="360" w:lineRule="auto"/>
        <w:ind w:left="560"/>
        <w:rPr>
          <w:rFonts w:ascii="宋体" w:hAnsi="宋体"/>
          <w:bCs/>
          <w:color w:val="auto"/>
          <w:highlight w:val="none"/>
        </w:rPr>
      </w:pPr>
      <w:r>
        <w:rPr>
          <w:rFonts w:hint="eastAsia" w:ascii="宋体" w:hAnsi="宋体"/>
          <w:bCs/>
          <w:color w:val="auto"/>
          <w:highlight w:val="none"/>
        </w:rPr>
        <w:t xml:space="preserve">8.招标文件要求投标人提交的其他资料（资格审查）： </w:t>
      </w:r>
      <w:r>
        <w:rPr>
          <w:rFonts w:hint="eastAsia" w:ascii="宋体" w:hAnsi="宋体"/>
          <w:bCs/>
          <w:color w:val="auto"/>
          <w:highlight w:val="none"/>
          <w:u w:val="single"/>
        </w:rPr>
        <w:t>根据投标人须知前附表3.5资格审查资料要求的</w:t>
      </w:r>
      <w:r>
        <w:rPr>
          <w:rFonts w:hint="eastAsia" w:ascii="宋体" w:hAnsi="宋体"/>
          <w:bCs/>
          <w:color w:val="auto"/>
          <w:highlight w:val="none"/>
          <w:u w:val="single"/>
          <w:lang w:val="en-US" w:eastAsia="zh-CN"/>
        </w:rPr>
        <w:t>其他</w:t>
      </w:r>
      <w:r>
        <w:rPr>
          <w:rFonts w:hint="eastAsia" w:ascii="宋体" w:hAnsi="宋体"/>
          <w:bCs/>
          <w:color w:val="auto"/>
          <w:highlight w:val="none"/>
          <w:u w:val="single"/>
        </w:rPr>
        <w:t>资料</w:t>
      </w:r>
      <w:r>
        <w:rPr>
          <w:rFonts w:hint="eastAsia" w:ascii="宋体" w:hAnsi="宋体"/>
          <w:bCs/>
          <w:color w:val="auto"/>
          <w:highlight w:val="none"/>
        </w:rPr>
        <w:t xml:space="preserve">                       </w:t>
      </w:r>
    </w:p>
    <w:p>
      <w:pPr>
        <w:autoSpaceDN/>
        <w:spacing w:line="360" w:lineRule="auto"/>
        <w:ind w:left="560"/>
        <w:rPr>
          <w:rFonts w:ascii="宋体" w:hAnsi="宋体"/>
          <w:bCs/>
          <w:color w:val="auto"/>
          <w:highlight w:val="none"/>
        </w:rPr>
      </w:pPr>
      <w:r>
        <w:rPr>
          <w:rFonts w:hint="eastAsia" w:ascii="宋体" w:hAnsi="宋体"/>
          <w:bCs/>
          <w:color w:val="auto"/>
          <w:highlight w:val="none"/>
        </w:rPr>
        <w:br w:type="page"/>
      </w:r>
    </w:p>
    <w:p>
      <w:pPr>
        <w:spacing w:line="360" w:lineRule="auto"/>
        <w:jc w:val="center"/>
        <w:rPr>
          <w:rFonts w:ascii="宋体" w:hAnsi="宋体"/>
          <w:b/>
          <w:bCs/>
          <w:color w:val="auto"/>
          <w:highlight w:val="none"/>
        </w:rPr>
      </w:pPr>
      <w:r>
        <w:rPr>
          <w:rFonts w:hint="eastAsia" w:ascii="宋体" w:hAnsi="宋体"/>
          <w:b/>
          <w:bCs/>
          <w:color w:val="auto"/>
          <w:highlight w:val="none"/>
        </w:rPr>
        <w:t>表1  投标人基本情况</w:t>
      </w:r>
    </w:p>
    <w:p>
      <w:pPr>
        <w:spacing w:line="360" w:lineRule="auto"/>
        <w:ind w:firstLine="361" w:firstLineChars="150"/>
        <w:jc w:val="center"/>
        <w:rPr>
          <w:rFonts w:hAnsi="宋体" w:cs="宋体"/>
          <w:b/>
          <w:bCs/>
          <w:color w:val="auto"/>
          <w:highlight w:val="none"/>
        </w:rPr>
      </w:pPr>
    </w:p>
    <w:tbl>
      <w:tblPr>
        <w:tblStyle w:val="18"/>
        <w:tblW w:w="918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93"/>
        <w:gridCol w:w="1134"/>
        <w:gridCol w:w="1275"/>
        <w:gridCol w:w="1389"/>
        <w:gridCol w:w="173"/>
        <w:gridCol w:w="1038"/>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投标人名称</w:t>
            </w:r>
          </w:p>
        </w:tc>
        <w:tc>
          <w:tcPr>
            <w:tcW w:w="7343" w:type="dxa"/>
            <w:gridSpan w:val="7"/>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注册地址</w:t>
            </w:r>
          </w:p>
        </w:tc>
        <w:tc>
          <w:tcPr>
            <w:tcW w:w="3402" w:type="dxa"/>
            <w:gridSpan w:val="3"/>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389"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邮政编码</w:t>
            </w:r>
          </w:p>
        </w:tc>
        <w:tc>
          <w:tcPr>
            <w:tcW w:w="2552" w:type="dxa"/>
            <w:gridSpan w:val="3"/>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3" w:type="dxa"/>
            <w:vMerge w:val="restart"/>
            <w:tcBorders>
              <w:top w:val="nil"/>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联系方式</w:t>
            </w:r>
          </w:p>
        </w:tc>
        <w:tc>
          <w:tcPr>
            <w:tcW w:w="993"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联系人</w:t>
            </w:r>
          </w:p>
        </w:tc>
        <w:tc>
          <w:tcPr>
            <w:tcW w:w="2409"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389"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电话</w:t>
            </w:r>
          </w:p>
        </w:tc>
        <w:tc>
          <w:tcPr>
            <w:tcW w:w="2552" w:type="dxa"/>
            <w:gridSpan w:val="3"/>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43"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hAnsi="宋体"/>
                <w:color w:val="auto"/>
                <w:highlight w:val="none"/>
              </w:rPr>
            </w:pPr>
          </w:p>
        </w:tc>
        <w:tc>
          <w:tcPr>
            <w:tcW w:w="993"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传真</w:t>
            </w:r>
          </w:p>
        </w:tc>
        <w:tc>
          <w:tcPr>
            <w:tcW w:w="2409"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389"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网址</w:t>
            </w:r>
          </w:p>
        </w:tc>
        <w:tc>
          <w:tcPr>
            <w:tcW w:w="2552" w:type="dxa"/>
            <w:gridSpan w:val="3"/>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组织结构</w:t>
            </w:r>
          </w:p>
        </w:tc>
        <w:tc>
          <w:tcPr>
            <w:tcW w:w="7343" w:type="dxa"/>
            <w:gridSpan w:val="7"/>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法定代表人</w:t>
            </w:r>
          </w:p>
        </w:tc>
        <w:tc>
          <w:tcPr>
            <w:tcW w:w="993"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姓名</w:t>
            </w:r>
          </w:p>
        </w:tc>
        <w:tc>
          <w:tcPr>
            <w:tcW w:w="1134" w:type="dxa"/>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275"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技术职称</w:t>
            </w:r>
          </w:p>
        </w:tc>
        <w:tc>
          <w:tcPr>
            <w:tcW w:w="1562"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038"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电话</w:t>
            </w:r>
          </w:p>
        </w:tc>
        <w:tc>
          <w:tcPr>
            <w:tcW w:w="1341" w:type="dxa"/>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技术负责人</w:t>
            </w:r>
          </w:p>
        </w:tc>
        <w:tc>
          <w:tcPr>
            <w:tcW w:w="993"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姓名</w:t>
            </w:r>
          </w:p>
        </w:tc>
        <w:tc>
          <w:tcPr>
            <w:tcW w:w="1134" w:type="dxa"/>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275"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技术职称</w:t>
            </w:r>
          </w:p>
        </w:tc>
        <w:tc>
          <w:tcPr>
            <w:tcW w:w="1562"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038" w:type="dxa"/>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电话</w:t>
            </w:r>
          </w:p>
        </w:tc>
        <w:tc>
          <w:tcPr>
            <w:tcW w:w="1341" w:type="dxa"/>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成立时间</w:t>
            </w:r>
          </w:p>
        </w:tc>
        <w:tc>
          <w:tcPr>
            <w:tcW w:w="2127"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5216" w:type="dxa"/>
            <w:gridSpan w:val="5"/>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企业资质等级</w:t>
            </w:r>
          </w:p>
        </w:tc>
        <w:tc>
          <w:tcPr>
            <w:tcW w:w="2127"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275" w:type="dxa"/>
            <w:vMerge w:val="restart"/>
            <w:tcBorders>
              <w:top w:val="nil"/>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其中</w:t>
            </w:r>
          </w:p>
        </w:tc>
        <w:tc>
          <w:tcPr>
            <w:tcW w:w="1562"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项目负责人</w:t>
            </w:r>
          </w:p>
        </w:tc>
        <w:tc>
          <w:tcPr>
            <w:tcW w:w="2379"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营业执照号</w:t>
            </w:r>
          </w:p>
        </w:tc>
        <w:tc>
          <w:tcPr>
            <w:tcW w:w="2127"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275" w:type="dxa"/>
            <w:vMerge w:val="continue"/>
            <w:tcBorders>
              <w:top w:val="nil"/>
              <w:left w:val="nil"/>
              <w:bottom w:val="single" w:color="auto" w:sz="4" w:space="0"/>
              <w:right w:val="single" w:color="auto" w:sz="4" w:space="0"/>
            </w:tcBorders>
            <w:vAlign w:val="center"/>
          </w:tcPr>
          <w:p>
            <w:pPr>
              <w:widowControl/>
              <w:autoSpaceDE/>
              <w:autoSpaceDN/>
              <w:adjustRightInd/>
              <w:rPr>
                <w:rFonts w:hAnsi="宋体"/>
                <w:color w:val="auto"/>
                <w:highlight w:val="none"/>
              </w:rPr>
            </w:pPr>
          </w:p>
        </w:tc>
        <w:tc>
          <w:tcPr>
            <w:tcW w:w="1562"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高级职称人员</w:t>
            </w:r>
          </w:p>
        </w:tc>
        <w:tc>
          <w:tcPr>
            <w:tcW w:w="2379"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注册资金</w:t>
            </w:r>
          </w:p>
        </w:tc>
        <w:tc>
          <w:tcPr>
            <w:tcW w:w="2127"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275" w:type="dxa"/>
            <w:vMerge w:val="continue"/>
            <w:tcBorders>
              <w:top w:val="nil"/>
              <w:left w:val="nil"/>
              <w:bottom w:val="single" w:color="auto" w:sz="4" w:space="0"/>
              <w:right w:val="single" w:color="auto" w:sz="4" w:space="0"/>
            </w:tcBorders>
            <w:vAlign w:val="center"/>
          </w:tcPr>
          <w:p>
            <w:pPr>
              <w:widowControl/>
              <w:autoSpaceDE/>
              <w:autoSpaceDN/>
              <w:adjustRightInd/>
              <w:rPr>
                <w:rFonts w:hAnsi="宋体"/>
                <w:color w:val="auto"/>
                <w:highlight w:val="none"/>
              </w:rPr>
            </w:pPr>
          </w:p>
        </w:tc>
        <w:tc>
          <w:tcPr>
            <w:tcW w:w="1562"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中级职称人员</w:t>
            </w:r>
          </w:p>
        </w:tc>
        <w:tc>
          <w:tcPr>
            <w:tcW w:w="2379"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开户银行</w:t>
            </w:r>
          </w:p>
        </w:tc>
        <w:tc>
          <w:tcPr>
            <w:tcW w:w="2127"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275" w:type="dxa"/>
            <w:vMerge w:val="continue"/>
            <w:tcBorders>
              <w:top w:val="nil"/>
              <w:left w:val="nil"/>
              <w:bottom w:val="single" w:color="auto" w:sz="4" w:space="0"/>
              <w:right w:val="single" w:color="auto" w:sz="4" w:space="0"/>
            </w:tcBorders>
            <w:vAlign w:val="center"/>
          </w:tcPr>
          <w:p>
            <w:pPr>
              <w:widowControl/>
              <w:autoSpaceDE/>
              <w:autoSpaceDN/>
              <w:adjustRightInd/>
              <w:rPr>
                <w:rFonts w:hAnsi="宋体"/>
                <w:color w:val="auto"/>
                <w:highlight w:val="none"/>
              </w:rPr>
            </w:pPr>
          </w:p>
        </w:tc>
        <w:tc>
          <w:tcPr>
            <w:tcW w:w="1562"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初级职称人员</w:t>
            </w:r>
          </w:p>
        </w:tc>
        <w:tc>
          <w:tcPr>
            <w:tcW w:w="2379"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账号</w:t>
            </w:r>
          </w:p>
        </w:tc>
        <w:tc>
          <w:tcPr>
            <w:tcW w:w="2127"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c>
          <w:tcPr>
            <w:tcW w:w="1275" w:type="dxa"/>
            <w:vMerge w:val="continue"/>
            <w:tcBorders>
              <w:top w:val="nil"/>
              <w:left w:val="nil"/>
              <w:bottom w:val="single" w:color="auto" w:sz="4" w:space="0"/>
              <w:right w:val="single" w:color="auto" w:sz="4" w:space="0"/>
            </w:tcBorders>
            <w:vAlign w:val="center"/>
          </w:tcPr>
          <w:p>
            <w:pPr>
              <w:widowControl/>
              <w:autoSpaceDE/>
              <w:autoSpaceDN/>
              <w:adjustRightInd/>
              <w:rPr>
                <w:rFonts w:hAnsi="宋体"/>
                <w:color w:val="auto"/>
                <w:highlight w:val="none"/>
              </w:rPr>
            </w:pPr>
          </w:p>
        </w:tc>
        <w:tc>
          <w:tcPr>
            <w:tcW w:w="1562"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技工</w:t>
            </w:r>
          </w:p>
        </w:tc>
        <w:tc>
          <w:tcPr>
            <w:tcW w:w="2379" w:type="dxa"/>
            <w:gridSpan w:val="2"/>
            <w:tcBorders>
              <w:top w:val="single" w:color="auto" w:sz="4" w:space="0"/>
              <w:left w:val="nil"/>
              <w:bottom w:val="single" w:color="auto" w:sz="4" w:space="0"/>
              <w:right w:val="single" w:color="auto" w:sz="4" w:space="0"/>
            </w:tcBorders>
            <w:vAlign w:val="center"/>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hAnsi="宋体"/>
                <w:color w:val="auto"/>
                <w:highlight w:val="none"/>
              </w:rPr>
            </w:pPr>
            <w:r>
              <w:rPr>
                <w:rFonts w:hint="eastAsia" w:hAnsi="宋体"/>
                <w:color w:val="auto"/>
                <w:highlight w:val="none"/>
              </w:rPr>
              <w:t>经营范围备注</w:t>
            </w:r>
          </w:p>
        </w:tc>
        <w:tc>
          <w:tcPr>
            <w:tcW w:w="7343" w:type="dxa"/>
            <w:gridSpan w:val="7"/>
            <w:tcBorders>
              <w:top w:val="single" w:color="auto" w:sz="4" w:space="0"/>
              <w:left w:val="nil"/>
              <w:bottom w:val="single" w:color="auto" w:sz="4" w:space="0"/>
              <w:right w:val="single" w:color="auto" w:sz="4" w:space="0"/>
            </w:tcBorders>
            <w:vAlign w:val="center"/>
          </w:tcPr>
          <w:p>
            <w:pPr>
              <w:ind w:firstLine="480" w:firstLineChars="200"/>
              <w:rPr>
                <w:rFonts w:hAnsi="宋体"/>
                <w:color w:val="auto"/>
                <w:highlight w:val="none"/>
              </w:rPr>
            </w:pPr>
          </w:p>
        </w:tc>
      </w:tr>
    </w:tbl>
    <w:p>
      <w:pPr>
        <w:rPr>
          <w:color w:val="auto"/>
          <w:highlight w:val="none"/>
        </w:rPr>
      </w:pPr>
    </w:p>
    <w:p>
      <w:pPr>
        <w:rPr>
          <w:color w:val="auto"/>
          <w:highlight w:val="none"/>
        </w:rPr>
      </w:pPr>
      <w:r>
        <w:rPr>
          <w:rFonts w:hint="eastAsia" w:ascii="宋体" w:hAnsi="宋体"/>
          <w:color w:val="auto"/>
          <w:highlight w:val="none"/>
        </w:rPr>
        <w:t>附营业执照、资质证书、</w:t>
      </w:r>
      <w:r>
        <w:rPr>
          <w:rFonts w:hint="eastAsia" w:ascii="宋体" w:hAnsi="宋体"/>
          <w:color w:val="auto"/>
          <w:spacing w:val="-6"/>
          <w:highlight w:val="none"/>
        </w:rPr>
        <w:t>安全生产许可证副本</w:t>
      </w:r>
      <w:r>
        <w:rPr>
          <w:rFonts w:hint="eastAsia" w:ascii="宋体" w:hAnsi="宋体"/>
          <w:color w:val="auto"/>
          <w:highlight w:val="none"/>
        </w:rPr>
        <w:t>等相关资格审查资料。</w:t>
      </w:r>
    </w:p>
    <w:p>
      <w:pPr>
        <w:widowControl/>
        <w:jc w:val="center"/>
        <w:rPr>
          <w:color w:val="auto"/>
          <w:sz w:val="36"/>
          <w:szCs w:val="36"/>
          <w:highlight w:val="none"/>
        </w:rPr>
      </w:pPr>
      <w:r>
        <w:rPr>
          <w:color w:val="auto"/>
          <w:highlight w:val="none"/>
        </w:rPr>
        <w:br w:type="page"/>
      </w:r>
      <w:r>
        <w:rPr>
          <w:rFonts w:hint="eastAsia" w:ascii="宋体" w:hAnsi="宋体"/>
          <w:b/>
          <w:bCs/>
          <w:color w:val="auto"/>
          <w:sz w:val="36"/>
          <w:szCs w:val="36"/>
          <w:highlight w:val="none"/>
        </w:rPr>
        <w:t>投标承诺书</w:t>
      </w:r>
    </w:p>
    <w:p>
      <w:pPr>
        <w:pStyle w:val="15"/>
        <w:spacing w:line="440" w:lineRule="exact"/>
        <w:jc w:val="left"/>
        <w:rPr>
          <w:rFonts w:hAnsi="宋体"/>
          <w:color w:val="auto"/>
          <w:sz w:val="24"/>
          <w:szCs w:val="24"/>
          <w:highlight w:val="none"/>
        </w:rPr>
      </w:pPr>
      <w:r>
        <w:rPr>
          <w:rFonts w:hint="eastAsia" w:hAnsi="宋体"/>
          <w:color w:val="auto"/>
          <w:sz w:val="24"/>
          <w:szCs w:val="24"/>
          <w:highlight w:val="none"/>
          <w:u w:val="single"/>
        </w:rPr>
        <w:t>（招标人名称）</w:t>
      </w:r>
      <w:r>
        <w:rPr>
          <w:rFonts w:hint="eastAsia" w:hAnsi="宋体"/>
          <w:color w:val="auto"/>
          <w:sz w:val="24"/>
          <w:szCs w:val="24"/>
          <w:highlight w:val="none"/>
        </w:rPr>
        <w:t>：</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本公司已详细阅读</w:t>
      </w:r>
      <w:r>
        <w:rPr>
          <w:rFonts w:hint="eastAsia" w:hAnsi="宋体"/>
          <w:color w:val="auto"/>
          <w:sz w:val="24"/>
          <w:szCs w:val="24"/>
          <w:highlight w:val="none"/>
          <w:u w:val="single"/>
        </w:rPr>
        <w:t xml:space="preserve">    （工程名称及招标编号）   </w:t>
      </w:r>
      <w:r>
        <w:rPr>
          <w:rFonts w:hint="eastAsia" w:hAnsi="宋体"/>
          <w:color w:val="auto"/>
          <w:sz w:val="24"/>
          <w:szCs w:val="24"/>
          <w:highlight w:val="none"/>
        </w:rPr>
        <w:t>招标文件，自觉遵守中华人民共和国、浙江省及当地有关招标投标的法律法规规定，自觉维护建筑市场正常秩序，现自愿就参加该工程投标有关事项郑重承诺如下：</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承诺投标文件无虚假、伪造的内容。若投标文件中存在虚假、伪造的内容，同意作无效投标处理，投标保证金并不予退还；若中标之后被查实弄虚作假，同意取消中标资格，投标保证金、履约保证金并不予退还；</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2.承诺无串通投标行为，若存在与其他投标人的投标文件存在投标文件两处及以上错误一致、内容多处雷同、</w:t>
      </w:r>
      <w:r>
        <w:rPr>
          <w:rFonts w:hint="eastAsia" w:hAnsi="宋体"/>
          <w:i/>
          <w:color w:val="auto"/>
          <w:sz w:val="24"/>
          <w:szCs w:val="24"/>
          <w:highlight w:val="none"/>
          <w:u w:val="single"/>
        </w:rPr>
        <w:t xml:space="preserve">投标文件制作机器码及文件创建标识码一致 </w:t>
      </w:r>
      <w:r>
        <w:rPr>
          <w:rFonts w:hint="eastAsia" w:hAnsi="宋体"/>
          <w:color w:val="auto"/>
          <w:sz w:val="24"/>
          <w:szCs w:val="24"/>
          <w:highlight w:val="none"/>
        </w:rPr>
        <w:t>的情况，同意作无效投标处理，并接受有关行政监督部门的调查和处罚；</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3.承诺无恶意报价行为，若被认定存在严重哄抬标价或影响合同履行的异常低价竞标行为，同意作无效投标处理，并接受有关行政监督部门的调查和处罚；</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4、承诺按照投标文件派驻管理人员及投入机械设备，若存在不到位的情况，同意接受合同约定的处罚。若严重影响合同履约的，同意接受招标人解除合同的要求。</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5、承诺本项目拟派项目负责人在投标截止日无在其他任何在建合同工程上担任项目负责人（包括工程总承包项目中的施工负责人）的情形。在建合同工程的开始时间为合同工程中标通知书发出日期（不通过招标方式的，开始时间为合同签订日期），结束时间为该合同通过合同验收或合同解除日期。</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6、承诺我单位在投标前，及时维护更新“浙江省建筑市场监管公共服务系统”相关信息，并对企业资质、人员资格、项目状况、信用评价等信息的真实性、准确性、完整性负责。</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int="eastAsia" w:hAnsi="宋体"/>
          <w:color w:val="auto"/>
          <w:sz w:val="24"/>
          <w:szCs w:val="24"/>
          <w:highlight w:val="none"/>
          <w:lang w:val="en-US" w:eastAsia="zh-CN"/>
        </w:rPr>
      </w:pPr>
      <w:r>
        <w:rPr>
          <w:rFonts w:hint="eastAsia" w:hAnsi="宋体"/>
          <w:color w:val="auto"/>
          <w:sz w:val="24"/>
          <w:szCs w:val="24"/>
          <w:highlight w:val="none"/>
          <w:lang w:val="en-US" w:eastAsia="zh-CN"/>
        </w:rPr>
        <w:t>7、承诺我单位在投标期间（招标公告发布之日至中标通知书发出之日），资质条件在</w:t>
      </w:r>
      <w:r>
        <w:rPr>
          <w:rFonts w:hint="eastAsia" w:hAnsi="宋体"/>
          <w:color w:val="auto"/>
          <w:sz w:val="24"/>
          <w:szCs w:val="24"/>
          <w:highlight w:val="none"/>
        </w:rPr>
        <w:t>“浙江省建筑市场监管公共服务系统”</w:t>
      </w:r>
      <w:r>
        <w:rPr>
          <w:rFonts w:hint="eastAsia" w:hAnsi="宋体"/>
          <w:color w:val="auto"/>
          <w:sz w:val="24"/>
          <w:szCs w:val="24"/>
          <w:highlight w:val="none"/>
          <w:lang w:val="en-US" w:eastAsia="zh-CN"/>
        </w:rPr>
        <w:t>上动态核查结果处于”合格”状态，若为“不合格”状态同意作否决投标处理。</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lang w:val="en-US" w:eastAsia="zh-CN"/>
        </w:rPr>
        <w:t>8</w:t>
      </w:r>
      <w:r>
        <w:rPr>
          <w:rFonts w:hint="eastAsia" w:hAnsi="宋体"/>
          <w:color w:val="auto"/>
          <w:sz w:val="24"/>
          <w:szCs w:val="24"/>
          <w:highlight w:val="none"/>
        </w:rPr>
        <w:t>、承诺本招标文件要求的人员和单位没有被人民法院列入限制失信被执行人名单和至投标截止时间三年内没有行贿犯罪记录。</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rPr>
      </w:pPr>
      <w:r>
        <w:rPr>
          <w:rFonts w:hint="eastAsia" w:hAnsi="宋体"/>
          <w:color w:val="auto"/>
          <w:sz w:val="24"/>
          <w:szCs w:val="24"/>
          <w:highlight w:val="none"/>
          <w:lang w:val="en-US" w:eastAsia="zh-CN"/>
        </w:rPr>
        <w:t>9</w:t>
      </w:r>
      <w:r>
        <w:rPr>
          <w:rFonts w:hint="eastAsia" w:hAnsi="宋体"/>
          <w:color w:val="auto"/>
          <w:sz w:val="24"/>
          <w:szCs w:val="24"/>
          <w:highlight w:val="none"/>
        </w:rPr>
        <w:t>、承诺未被有关行政主管部门列入严重失信黑名单或限制参加投标。</w:t>
      </w:r>
    </w:p>
    <w:p>
      <w:pPr>
        <w:pStyle w:val="15"/>
        <w:keepNext w:val="0"/>
        <w:keepLines w:val="0"/>
        <w:pageBreakBefore w:val="0"/>
        <w:widowControl w:val="0"/>
        <w:kinsoku/>
        <w:wordWrap/>
        <w:overflowPunct/>
        <w:topLinePunct w:val="0"/>
        <w:autoSpaceDE w:val="0"/>
        <w:autoSpaceDN/>
        <w:bidi w:val="0"/>
        <w:adjustRightInd/>
        <w:snapToGrid/>
        <w:spacing w:line="380" w:lineRule="exact"/>
        <w:ind w:firstLine="480" w:firstLineChars="200"/>
        <w:textAlignment w:val="auto"/>
        <w:rPr>
          <w:rFonts w:hAnsi="宋体"/>
          <w:color w:val="auto"/>
          <w:sz w:val="24"/>
          <w:szCs w:val="24"/>
          <w:highlight w:val="none"/>
          <w:u w:val="single"/>
        </w:rPr>
      </w:pPr>
      <w:r>
        <w:rPr>
          <w:rFonts w:hint="eastAsia" w:hAnsi="宋体"/>
          <w:color w:val="auto"/>
          <w:sz w:val="24"/>
          <w:szCs w:val="24"/>
          <w:highlight w:val="none"/>
          <w:lang w:val="en-US" w:eastAsia="zh-CN"/>
        </w:rPr>
        <w:t>10</w:t>
      </w:r>
      <w:r>
        <w:rPr>
          <w:rFonts w:hint="eastAsia" w:hAnsi="宋体"/>
          <w:color w:val="auto"/>
          <w:sz w:val="24"/>
          <w:szCs w:val="24"/>
          <w:highlight w:val="none"/>
        </w:rPr>
        <w:t>、其他：</w:t>
      </w:r>
      <w:r>
        <w:rPr>
          <w:rFonts w:hint="eastAsia" w:hAnsi="宋体"/>
          <w:color w:val="auto"/>
          <w:sz w:val="24"/>
          <w:szCs w:val="24"/>
          <w:highlight w:val="none"/>
          <w:u w:val="single"/>
        </w:rPr>
        <w:t xml:space="preserve">    （招标人可根据实际情况增加相应的条款）    </w:t>
      </w:r>
    </w:p>
    <w:p>
      <w:pPr>
        <w:pStyle w:val="15"/>
        <w:spacing w:line="440" w:lineRule="exact"/>
        <w:ind w:firstLine="480" w:firstLineChars="200"/>
        <w:rPr>
          <w:rFonts w:hAnsi="宋体"/>
          <w:color w:val="auto"/>
          <w:highlight w:val="none"/>
        </w:rPr>
      </w:pPr>
      <w:r>
        <w:rPr>
          <w:rFonts w:hint="eastAsia" w:hAnsi="宋体"/>
          <w:color w:val="auto"/>
          <w:sz w:val="24"/>
          <w:szCs w:val="24"/>
          <w:highlight w:val="none"/>
        </w:rPr>
        <w:t>1</w:t>
      </w:r>
      <w:r>
        <w:rPr>
          <w:rFonts w:hint="eastAsia" w:hAnsi="宋体"/>
          <w:color w:val="auto"/>
          <w:sz w:val="24"/>
          <w:szCs w:val="24"/>
          <w:highlight w:val="none"/>
          <w:lang w:val="en-US" w:eastAsia="zh-CN"/>
        </w:rPr>
        <w:t>1</w:t>
      </w:r>
      <w:r>
        <w:rPr>
          <w:rFonts w:hint="eastAsia" w:hAnsi="宋体"/>
          <w:color w:val="auto"/>
          <w:sz w:val="24"/>
          <w:szCs w:val="24"/>
          <w:highlight w:val="none"/>
        </w:rPr>
        <w:t>、以上承诺如有虚假，愿意接受投标保证金不予退还的处罚。给招标人造成损失的，愿意依法承担赔偿责任。如已中标，同意招标人取消我单位中标资格的处理。</w:t>
      </w:r>
    </w:p>
    <w:p>
      <w:pPr>
        <w:pStyle w:val="15"/>
        <w:spacing w:line="440" w:lineRule="exact"/>
        <w:ind w:firstLine="3840" w:firstLineChars="1600"/>
        <w:rPr>
          <w:rFonts w:hAnsi="宋体" w:cs="Courier New"/>
          <w:color w:val="auto"/>
          <w:sz w:val="24"/>
          <w:szCs w:val="24"/>
          <w:highlight w:val="none"/>
          <w:u w:val="single"/>
        </w:rPr>
      </w:pPr>
      <w:r>
        <w:rPr>
          <w:rFonts w:hint="eastAsia" w:hAnsi="宋体" w:cs="Courier New"/>
          <w:color w:val="auto"/>
          <w:sz w:val="24"/>
          <w:szCs w:val="24"/>
          <w:highlight w:val="none"/>
        </w:rPr>
        <w:t>法定代表人（签字或盖章）：</w:t>
      </w:r>
      <w:r>
        <w:rPr>
          <w:rFonts w:hint="eastAsia" w:hAnsi="宋体" w:cs="Courier New"/>
          <w:color w:val="auto"/>
          <w:sz w:val="24"/>
          <w:szCs w:val="24"/>
          <w:highlight w:val="none"/>
          <w:u w:val="single"/>
        </w:rPr>
        <w:t xml:space="preserve">          </w:t>
      </w:r>
    </w:p>
    <w:p>
      <w:pPr>
        <w:spacing w:line="440" w:lineRule="exact"/>
        <w:ind w:firstLine="3840" w:firstLineChars="1600"/>
        <w:rPr>
          <w:rFonts w:ascii="宋体" w:hAnsi="宋体" w:cs="Courier New"/>
          <w:color w:val="auto"/>
          <w:highlight w:val="none"/>
          <w:u w:val="single"/>
        </w:rPr>
      </w:pPr>
      <w:r>
        <w:rPr>
          <w:rFonts w:hint="eastAsia" w:ascii="宋体" w:hAnsi="宋体" w:cs="Courier New"/>
          <w:color w:val="auto"/>
          <w:highlight w:val="none"/>
        </w:rPr>
        <w:t>投标人（单位盖章）：</w:t>
      </w:r>
      <w:r>
        <w:rPr>
          <w:rFonts w:hint="eastAsia" w:ascii="宋体" w:hAnsi="宋体" w:cs="Courier New"/>
          <w:color w:val="auto"/>
          <w:highlight w:val="none"/>
          <w:u w:val="single"/>
        </w:rPr>
        <w:t xml:space="preserve">                </w:t>
      </w:r>
    </w:p>
    <w:p>
      <w:pPr>
        <w:jc w:val="center"/>
        <w:rPr>
          <w:color w:val="auto"/>
          <w:sz w:val="36"/>
          <w:szCs w:val="36"/>
          <w:highlight w:val="none"/>
        </w:rPr>
      </w:pPr>
      <w:r>
        <w:rPr>
          <w:rFonts w:hint="eastAsia" w:ascii="宋体" w:hAnsi="宋体" w:cs="Courier New"/>
          <w:color w:val="auto"/>
          <w:highlight w:val="none"/>
        </w:rPr>
        <w:t xml:space="preserve">               年    月    日</w:t>
      </w:r>
      <w:r>
        <w:rPr>
          <w:rFonts w:hint="eastAsia" w:ascii="Microsoft JhengHei" w:eastAsia="Microsoft JhengHei"/>
          <w:b/>
          <w:bCs/>
          <w:color w:val="auto"/>
          <w:highlight w:val="none"/>
        </w:rPr>
        <w:br w:type="page"/>
      </w:r>
      <w:r>
        <w:rPr>
          <w:rFonts w:hint="eastAsia" w:ascii="宋体" w:hAnsi="宋体"/>
          <w:b/>
          <w:bCs/>
          <w:color w:val="auto"/>
          <w:sz w:val="36"/>
          <w:szCs w:val="36"/>
          <w:highlight w:val="none"/>
        </w:rPr>
        <w:t>法定代表人身份证明书</w:t>
      </w:r>
    </w:p>
    <w:p>
      <w:pPr>
        <w:rPr>
          <w:color w:val="auto"/>
          <w:highlight w:val="none"/>
        </w:rPr>
      </w:pPr>
    </w:p>
    <w:p>
      <w:pPr>
        <w:spacing w:line="480" w:lineRule="auto"/>
        <w:rPr>
          <w:color w:val="auto"/>
          <w:highlight w:val="none"/>
          <w:u w:val="single"/>
        </w:rPr>
      </w:pPr>
      <w:r>
        <w:rPr>
          <w:rFonts w:hint="eastAsia" w:ascii="宋体" w:hAnsi="宋体"/>
          <w:color w:val="auto"/>
          <w:highlight w:val="none"/>
        </w:rPr>
        <w:t>单位名称：</w:t>
      </w:r>
      <w:r>
        <w:rPr>
          <w:rFonts w:hint="eastAsia" w:ascii="宋体" w:hAnsi="宋体"/>
          <w:color w:val="auto"/>
          <w:highlight w:val="none"/>
          <w:u w:val="single"/>
        </w:rPr>
        <w:t xml:space="preserve">                               </w:t>
      </w:r>
    </w:p>
    <w:p>
      <w:pPr>
        <w:spacing w:line="480" w:lineRule="auto"/>
        <w:rPr>
          <w:color w:val="auto"/>
          <w:highlight w:val="none"/>
          <w:u w:val="single"/>
        </w:rPr>
      </w:pPr>
      <w:r>
        <w:rPr>
          <w:rFonts w:hint="eastAsia" w:ascii="宋体" w:hAnsi="宋体"/>
          <w:color w:val="auto"/>
          <w:highlight w:val="none"/>
        </w:rPr>
        <w:t>地    址：</w:t>
      </w:r>
      <w:r>
        <w:rPr>
          <w:rFonts w:hint="eastAsia" w:ascii="宋体" w:hAnsi="宋体"/>
          <w:color w:val="auto"/>
          <w:highlight w:val="none"/>
          <w:u w:val="single"/>
        </w:rPr>
        <w:t xml:space="preserve">                                </w:t>
      </w:r>
    </w:p>
    <w:p>
      <w:pPr>
        <w:spacing w:line="480" w:lineRule="auto"/>
        <w:rPr>
          <w:color w:val="auto"/>
          <w:highlight w:val="none"/>
        </w:rPr>
      </w:pPr>
      <w:r>
        <w:rPr>
          <w:rFonts w:hint="eastAsia" w:ascii="宋体" w:hAnsi="宋体"/>
          <w:color w:val="auto"/>
          <w:highlight w:val="none"/>
        </w:rPr>
        <w:t>姓名：</w:t>
      </w:r>
      <w:r>
        <w:rPr>
          <w:rFonts w:hint="eastAsia" w:ascii="宋体" w:hAnsi="宋体"/>
          <w:color w:val="auto"/>
          <w:highlight w:val="none"/>
          <w:u w:val="single"/>
        </w:rPr>
        <w:t xml:space="preserve">       </w:t>
      </w:r>
      <w:r>
        <w:rPr>
          <w:rFonts w:hint="eastAsia" w:ascii="宋体" w:hAnsi="宋体"/>
          <w:color w:val="auto"/>
          <w:highlight w:val="none"/>
        </w:rPr>
        <w:t>性别</w:t>
      </w:r>
      <w:r>
        <w:rPr>
          <w:rFonts w:hint="eastAsia" w:ascii="宋体" w:hAnsi="宋体"/>
          <w:color w:val="auto"/>
          <w:highlight w:val="none"/>
          <w:u w:val="single"/>
        </w:rPr>
        <w:t xml:space="preserve">   </w:t>
      </w:r>
      <w:r>
        <w:rPr>
          <w:rFonts w:hint="eastAsia" w:ascii="宋体" w:hAnsi="宋体"/>
          <w:color w:val="auto"/>
          <w:highlight w:val="none"/>
        </w:rPr>
        <w:t>：年龄：</w:t>
      </w:r>
      <w:r>
        <w:rPr>
          <w:rFonts w:hint="eastAsia" w:ascii="宋体" w:hAnsi="宋体"/>
          <w:color w:val="auto"/>
          <w:highlight w:val="none"/>
          <w:u w:val="single"/>
        </w:rPr>
        <w:t xml:space="preserve">    </w:t>
      </w:r>
      <w:r>
        <w:rPr>
          <w:rFonts w:hint="eastAsia" w:ascii="宋体" w:hAnsi="宋体"/>
          <w:color w:val="auto"/>
          <w:highlight w:val="none"/>
        </w:rPr>
        <w:t>职务：</w:t>
      </w:r>
      <w:r>
        <w:rPr>
          <w:rFonts w:hint="eastAsia" w:ascii="宋体" w:hAnsi="宋体"/>
          <w:color w:val="auto"/>
          <w:highlight w:val="none"/>
          <w:u w:val="single"/>
        </w:rPr>
        <w:t xml:space="preserve">      </w:t>
      </w:r>
      <w:r>
        <w:rPr>
          <w:rFonts w:hint="eastAsia" w:ascii="宋体" w:hAnsi="宋体"/>
          <w:color w:val="auto"/>
          <w:highlight w:val="none"/>
        </w:rPr>
        <w:t>系</w:t>
      </w:r>
      <w:r>
        <w:rPr>
          <w:rFonts w:hint="eastAsia" w:ascii="宋体" w:hAnsi="宋体"/>
          <w:color w:val="auto"/>
          <w:highlight w:val="none"/>
          <w:u w:val="single"/>
        </w:rPr>
        <w:t xml:space="preserve">          </w:t>
      </w:r>
      <w:r>
        <w:rPr>
          <w:rFonts w:hint="eastAsia" w:ascii="宋体" w:hAnsi="宋体"/>
          <w:color w:val="auto"/>
          <w:highlight w:val="none"/>
        </w:rPr>
        <w:t>的法定代表人。</w:t>
      </w:r>
    </w:p>
    <w:p>
      <w:pPr>
        <w:spacing w:line="500" w:lineRule="exact"/>
        <w:ind w:firstLine="240" w:firstLineChars="100"/>
        <w:rPr>
          <w:rFonts w:ascii="宋体" w:hAnsi="宋体"/>
          <w:color w:val="auto"/>
          <w:highlight w:val="none"/>
        </w:rPr>
      </w:pPr>
    </w:p>
    <w:p>
      <w:pPr>
        <w:spacing w:line="500" w:lineRule="exact"/>
        <w:ind w:firstLine="240" w:firstLineChars="100"/>
        <w:rPr>
          <w:rFonts w:ascii="宋体" w:hAnsi="宋体"/>
          <w:color w:val="auto"/>
          <w:highlight w:val="none"/>
        </w:rPr>
      </w:pPr>
      <w:r>
        <w:rPr>
          <w:rFonts w:hint="eastAsia" w:ascii="宋体" w:hAnsi="宋体"/>
          <w:color w:val="auto"/>
          <w:highlight w:val="none"/>
        </w:rPr>
        <w:t>附</w:t>
      </w:r>
    </w:p>
    <w:tbl>
      <w:tblPr>
        <w:tblStyle w:val="18"/>
        <w:tblW w:w="6662" w:type="dxa"/>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olor w:val="auto"/>
                <w:highlight w:val="none"/>
              </w:rPr>
              <w:t>法定代表人身份证正面复印件粘贴处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olor w:val="auto"/>
                <w:highlight w:val="none"/>
              </w:rPr>
              <w:t>法定代表人身份证背面复印件粘贴处</w:t>
            </w:r>
          </w:p>
        </w:tc>
      </w:tr>
    </w:tbl>
    <w:p>
      <w:pPr>
        <w:spacing w:line="480" w:lineRule="auto"/>
        <w:rPr>
          <w:color w:val="auto"/>
          <w:highlight w:val="none"/>
        </w:rPr>
      </w:pPr>
      <w:r>
        <w:rPr>
          <w:rFonts w:hint="eastAsia" w:ascii="宋体" w:hAnsi="宋体"/>
          <w:color w:val="auto"/>
          <w:highlight w:val="none"/>
        </w:rPr>
        <w:t>特此证明。</w:t>
      </w:r>
    </w:p>
    <w:p>
      <w:pPr>
        <w:spacing w:line="480" w:lineRule="auto"/>
        <w:ind w:firstLine="4560" w:firstLineChars="1900"/>
        <w:rPr>
          <w:rFonts w:ascii="宋体" w:hAnsi="宋体"/>
          <w:color w:val="auto"/>
          <w:highlight w:val="none"/>
        </w:rPr>
      </w:pPr>
    </w:p>
    <w:p>
      <w:pPr>
        <w:spacing w:line="480" w:lineRule="auto"/>
        <w:ind w:firstLine="4560" w:firstLineChars="1900"/>
        <w:rPr>
          <w:color w:val="auto"/>
          <w:highlight w:val="none"/>
          <w:u w:val="single"/>
        </w:rPr>
      </w:pPr>
      <w:r>
        <w:rPr>
          <w:rFonts w:hint="eastAsia" w:ascii="宋体" w:hAnsi="宋体"/>
          <w:color w:val="auto"/>
          <w:highlight w:val="none"/>
        </w:rPr>
        <w:t>投标人：</w:t>
      </w:r>
      <w:r>
        <w:rPr>
          <w:rFonts w:hint="eastAsia" w:ascii="宋体" w:hAnsi="宋体"/>
          <w:color w:val="auto"/>
          <w:highlight w:val="none"/>
          <w:u w:val="single"/>
        </w:rPr>
        <w:t xml:space="preserve">  （单位盖章）</w:t>
      </w:r>
    </w:p>
    <w:p>
      <w:pPr>
        <w:spacing w:line="480" w:lineRule="auto"/>
        <w:ind w:firstLine="4560" w:firstLineChars="1900"/>
        <w:rPr>
          <w:color w:val="auto"/>
          <w:highlight w:val="none"/>
        </w:rPr>
      </w:pPr>
      <w:r>
        <w:rPr>
          <w:rFonts w:hint="eastAsia" w:ascii="宋体" w:hAnsi="宋体"/>
          <w:color w:val="auto"/>
          <w:highlight w:val="none"/>
        </w:rPr>
        <w:t>日  期：    年  月  日</w:t>
      </w:r>
    </w:p>
    <w:p>
      <w:pPr>
        <w:rPr>
          <w:rFonts w:ascii="宋体" w:hAnsi="宋体"/>
          <w:color w:val="auto"/>
          <w:highlight w:val="none"/>
        </w:rPr>
      </w:pPr>
    </w:p>
    <w:p>
      <w:pPr>
        <w:spacing w:line="480" w:lineRule="auto"/>
        <w:rPr>
          <w:strike/>
          <w:color w:val="auto"/>
          <w:highlight w:val="none"/>
        </w:rPr>
      </w:pPr>
      <w:r>
        <w:rPr>
          <w:rFonts w:hint="eastAsia" w:ascii="宋体" w:hAnsi="宋体"/>
          <w:strike/>
          <w:color w:val="auto"/>
          <w:highlight w:val="none"/>
        </w:rPr>
        <w:t>（注：此证明书格式供参考，各地可根据实际需求更改</w:t>
      </w:r>
      <w:r>
        <w:rPr>
          <w:rFonts w:hint="eastAsia" w:ascii="宋体" w:hAnsi="宋体"/>
          <w:strike/>
          <w:color w:val="auto"/>
          <w:sz w:val="28"/>
          <w:szCs w:val="28"/>
          <w:highlight w:val="none"/>
        </w:rPr>
        <w:t>）</w:t>
      </w:r>
    </w:p>
    <w:p>
      <w:pPr>
        <w:widowControl/>
        <w:rPr>
          <w:color w:val="auto"/>
          <w:highlight w:val="none"/>
        </w:rPr>
      </w:pPr>
      <w:r>
        <w:rPr>
          <w:rFonts w:hint="eastAsia" w:ascii="宋体" w:hAnsi="宋体" w:cs="宋体"/>
          <w:b/>
          <w:bCs/>
          <w:color w:val="auto"/>
          <w:highlight w:val="none"/>
          <w:lang w:bidi="ar"/>
        </w:rPr>
        <w:t xml:space="preserve">特别说明：投标人须知前附表3.5“资格审查资料”2、3、4要求提供的各 </w:t>
      </w:r>
    </w:p>
    <w:p>
      <w:pPr>
        <w:spacing w:line="480" w:lineRule="auto"/>
        <w:rPr>
          <w:rFonts w:hint="eastAsia" w:eastAsia="宋体"/>
          <w:color w:val="auto"/>
          <w:highlight w:val="none"/>
          <w:lang w:eastAsia="zh-CN"/>
        </w:rPr>
      </w:pPr>
      <w:r>
        <w:rPr>
          <w:rFonts w:hint="eastAsia" w:ascii="宋体" w:hAnsi="宋体" w:cs="宋体"/>
          <w:b/>
          <w:bCs/>
          <w:color w:val="auto"/>
          <w:highlight w:val="none"/>
          <w:lang w:bidi="ar"/>
        </w:rPr>
        <w:t>类资料附在法定代表人身份证明书后集中编制</w:t>
      </w:r>
      <w:r>
        <w:rPr>
          <w:rFonts w:hint="eastAsia" w:ascii="宋体" w:hAnsi="宋体" w:cs="宋体"/>
          <w:b/>
          <w:bCs/>
          <w:color w:val="auto"/>
          <w:highlight w:val="none"/>
          <w:lang w:eastAsia="zh-CN" w:bidi="ar"/>
        </w:rPr>
        <w:t>。</w:t>
      </w:r>
    </w:p>
    <w:p>
      <w:pPr>
        <w:pStyle w:val="17"/>
        <w:rPr>
          <w:color w:val="auto"/>
          <w:highlight w:val="none"/>
        </w:rPr>
      </w:pPr>
    </w:p>
    <w:p>
      <w:pPr>
        <w:pStyle w:val="17"/>
        <w:jc w:val="both"/>
        <w:rPr>
          <w:color w:val="auto"/>
          <w:highlight w:val="none"/>
        </w:rPr>
      </w:pPr>
    </w:p>
    <w:p>
      <w:pPr>
        <w:pStyle w:val="35"/>
        <w:jc w:val="center"/>
        <w:rPr>
          <w:rFonts w:ascii="宋体" w:hAnsi="宋体"/>
          <w:b/>
          <w:color w:val="auto"/>
          <w:sz w:val="36"/>
          <w:szCs w:val="36"/>
          <w:highlight w:val="none"/>
        </w:rPr>
      </w:pPr>
      <w:r>
        <w:rPr>
          <w:rFonts w:hint="eastAsia" w:ascii="宋体" w:hAnsi="宋体"/>
          <w:b/>
          <w:color w:val="auto"/>
          <w:sz w:val="36"/>
          <w:szCs w:val="36"/>
          <w:highlight w:val="none"/>
        </w:rPr>
        <w:t>授权委托书</w:t>
      </w:r>
    </w:p>
    <w:p>
      <w:pPr>
        <w:spacing w:line="480" w:lineRule="auto"/>
        <w:ind w:firstLine="720" w:firstLineChars="300"/>
        <w:rPr>
          <w:rFonts w:ascii="宋体" w:hAnsi="宋体"/>
          <w:color w:val="auto"/>
          <w:highlight w:val="none"/>
        </w:rPr>
      </w:pPr>
    </w:p>
    <w:p>
      <w:pPr>
        <w:spacing w:line="42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本授权委托书声明：我</w:t>
      </w:r>
      <w:r>
        <w:rPr>
          <w:rFonts w:hint="eastAsia" w:ascii="宋体" w:hAnsi="宋体"/>
          <w:color w:val="auto"/>
          <w:sz w:val="28"/>
          <w:szCs w:val="28"/>
          <w:highlight w:val="none"/>
          <w:u w:val="single"/>
        </w:rPr>
        <w:t xml:space="preserve">      （姓名） </w:t>
      </w:r>
      <w:r>
        <w:rPr>
          <w:rFonts w:hint="eastAsia" w:ascii="宋体" w:hAnsi="宋体"/>
          <w:color w:val="auto"/>
          <w:sz w:val="28"/>
          <w:szCs w:val="28"/>
          <w:highlight w:val="none"/>
        </w:rPr>
        <w:t>系</w:t>
      </w:r>
      <w:r>
        <w:rPr>
          <w:rFonts w:hint="eastAsia" w:ascii="宋体" w:hAnsi="宋体"/>
          <w:color w:val="auto"/>
          <w:sz w:val="28"/>
          <w:szCs w:val="28"/>
          <w:highlight w:val="none"/>
          <w:u w:val="single"/>
        </w:rPr>
        <w:t xml:space="preserve">                 （投标单位名称） </w:t>
      </w:r>
      <w:r>
        <w:rPr>
          <w:rFonts w:hint="eastAsia" w:ascii="宋体" w:hAnsi="宋体"/>
          <w:color w:val="auto"/>
          <w:sz w:val="28"/>
          <w:szCs w:val="28"/>
          <w:highlight w:val="none"/>
        </w:rPr>
        <w:t>的法定代表人，现授权委托</w:t>
      </w:r>
      <w:r>
        <w:rPr>
          <w:rFonts w:hint="eastAsia" w:ascii="宋体" w:hAnsi="宋体"/>
          <w:color w:val="auto"/>
          <w:sz w:val="28"/>
          <w:szCs w:val="28"/>
          <w:highlight w:val="none"/>
          <w:u w:val="single"/>
        </w:rPr>
        <w:t xml:space="preserve"> （姓名）     </w:t>
      </w:r>
      <w:r>
        <w:rPr>
          <w:rFonts w:hint="eastAsia" w:ascii="宋体" w:hAnsi="宋体"/>
          <w:color w:val="auto"/>
          <w:sz w:val="28"/>
          <w:szCs w:val="28"/>
          <w:highlight w:val="none"/>
        </w:rPr>
        <w:t>在</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p>
    <w:p>
      <w:pPr>
        <w:spacing w:line="420" w:lineRule="exact"/>
        <w:rPr>
          <w:color w:val="auto"/>
          <w:sz w:val="28"/>
          <w:szCs w:val="28"/>
          <w:highlight w:val="none"/>
        </w:rPr>
      </w:pP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日至</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日（代理时限）为我公司的代理人，以本公司的名义参加</w:t>
      </w:r>
      <w:r>
        <w:rPr>
          <w:rFonts w:hint="eastAsia" w:ascii="宋体" w:hAnsi="宋体"/>
          <w:color w:val="auto"/>
          <w:sz w:val="28"/>
          <w:szCs w:val="28"/>
          <w:highlight w:val="none"/>
          <w:u w:val="single"/>
        </w:rPr>
        <w:t xml:space="preserve">     工程     </w:t>
      </w:r>
      <w:r>
        <w:rPr>
          <w:rFonts w:hint="eastAsia" w:ascii="宋体" w:hAnsi="宋体"/>
          <w:color w:val="auto"/>
          <w:sz w:val="28"/>
          <w:szCs w:val="28"/>
          <w:highlight w:val="none"/>
        </w:rPr>
        <w:t>的投标活动。代理人在代理时间内参加投标、开标、询标过程中所签署的一切文件和处理与之相关的一切事务，本人均予以承认。</w:t>
      </w:r>
    </w:p>
    <w:p>
      <w:pPr>
        <w:pStyle w:val="35"/>
        <w:spacing w:line="420" w:lineRule="exact"/>
        <w:rPr>
          <w:rFonts w:ascii="宋体" w:hAnsi="宋体"/>
          <w:color w:val="auto"/>
          <w:sz w:val="28"/>
          <w:szCs w:val="28"/>
          <w:highlight w:val="none"/>
        </w:rPr>
      </w:pPr>
      <w:r>
        <w:rPr>
          <w:rFonts w:hint="eastAsia" w:ascii="宋体" w:hAnsi="宋体"/>
          <w:color w:val="auto"/>
          <w:sz w:val="28"/>
          <w:szCs w:val="28"/>
          <w:highlight w:val="none"/>
        </w:rPr>
        <w:t>代理人无权转委托。特此委托。</w:t>
      </w:r>
    </w:p>
    <w:p>
      <w:pPr>
        <w:spacing w:line="500" w:lineRule="exact"/>
        <w:ind w:firstLine="240" w:firstLineChars="100"/>
        <w:rPr>
          <w:rFonts w:ascii="宋体" w:hAnsi="宋体"/>
          <w:color w:val="auto"/>
          <w:highlight w:val="none"/>
        </w:rPr>
      </w:pPr>
      <w:r>
        <w:rPr>
          <w:rFonts w:hint="eastAsia" w:ascii="宋体" w:hAnsi="宋体"/>
          <w:color w:val="auto"/>
          <w:highlight w:val="none"/>
        </w:rPr>
        <w:t>附</w:t>
      </w:r>
    </w:p>
    <w:tbl>
      <w:tblPr>
        <w:tblStyle w:val="18"/>
        <w:tblW w:w="6662" w:type="dxa"/>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olor w:val="auto"/>
                <w:highlight w:val="none"/>
              </w:rPr>
              <w:t>代理人身份证正面复印件粘贴处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olor w:val="auto"/>
                <w:highlight w:val="none"/>
              </w:rPr>
              <w:t>代理人身份证背面复印件粘贴处</w:t>
            </w:r>
          </w:p>
        </w:tc>
      </w:tr>
    </w:tbl>
    <w:p>
      <w:pPr>
        <w:spacing w:line="360" w:lineRule="auto"/>
        <w:ind w:firstLine="5280" w:firstLineChars="2200"/>
        <w:rPr>
          <w:rFonts w:ascii="宋体" w:hAnsi="宋体"/>
          <w:color w:val="auto"/>
          <w:highlight w:val="none"/>
        </w:rPr>
      </w:pPr>
    </w:p>
    <w:p>
      <w:pPr>
        <w:spacing w:line="360" w:lineRule="auto"/>
        <w:ind w:firstLine="3600" w:firstLineChars="1500"/>
        <w:rPr>
          <w:rFonts w:ascii="宋体" w:hAnsi="宋体"/>
          <w:color w:val="auto"/>
          <w:highlight w:val="none"/>
          <w:u w:val="single"/>
        </w:rPr>
      </w:pPr>
      <w:r>
        <w:rPr>
          <w:rFonts w:hint="eastAsia" w:ascii="宋体" w:hAnsi="宋体"/>
          <w:color w:val="auto"/>
          <w:highlight w:val="none"/>
        </w:rPr>
        <w:t>投标人（单位盖章）：</w:t>
      </w:r>
      <w:r>
        <w:rPr>
          <w:rFonts w:hint="eastAsia" w:ascii="宋体" w:hAnsi="宋体"/>
          <w:color w:val="auto"/>
          <w:highlight w:val="none"/>
          <w:u w:val="single"/>
        </w:rPr>
        <w:t xml:space="preserve">                </w:t>
      </w:r>
    </w:p>
    <w:p>
      <w:pPr>
        <w:spacing w:line="360" w:lineRule="auto"/>
        <w:ind w:firstLine="3600" w:firstLineChars="1500"/>
        <w:rPr>
          <w:rFonts w:ascii="宋体" w:hAnsi="宋体"/>
          <w:color w:val="auto"/>
          <w:highlight w:val="none"/>
          <w:u w:val="single"/>
        </w:rPr>
      </w:pPr>
      <w:r>
        <w:rPr>
          <w:rFonts w:hint="eastAsia" w:ascii="宋体" w:hAnsi="宋体"/>
          <w:color w:val="auto"/>
          <w:highlight w:val="none"/>
        </w:rPr>
        <w:t>法定代表人（签字或盖章）：</w:t>
      </w:r>
      <w:r>
        <w:rPr>
          <w:rFonts w:hint="eastAsia" w:ascii="宋体" w:hAnsi="宋体"/>
          <w:color w:val="auto"/>
          <w:highlight w:val="none"/>
          <w:u w:val="single"/>
        </w:rPr>
        <w:t xml:space="preserve">          </w:t>
      </w:r>
    </w:p>
    <w:p>
      <w:pPr>
        <w:spacing w:line="360" w:lineRule="auto"/>
        <w:ind w:firstLine="4080" w:firstLineChars="1700"/>
        <w:rPr>
          <w:rFonts w:ascii="宋体" w:hAnsi="宋体"/>
          <w:color w:val="auto"/>
          <w:highlight w:val="none"/>
        </w:rPr>
      </w:pPr>
      <w:r>
        <w:rPr>
          <w:rFonts w:hint="eastAsia" w:ascii="宋体" w:hAnsi="宋体"/>
          <w:color w:val="auto"/>
          <w:highlight w:val="none"/>
        </w:rPr>
        <w:t>日期：    年  月  日</w:t>
      </w:r>
    </w:p>
    <w:p>
      <w:pPr>
        <w:rPr>
          <w:rFonts w:ascii="宋体" w:hAnsi="宋体"/>
          <w:color w:val="auto"/>
          <w:highlight w:val="none"/>
        </w:rPr>
      </w:pPr>
    </w:p>
    <w:p>
      <w:pPr>
        <w:spacing w:line="360" w:lineRule="auto"/>
        <w:jc w:val="both"/>
        <w:rPr>
          <w:rFonts w:ascii="宋体" w:hAnsi="宋体"/>
          <w:strike/>
          <w:color w:val="auto"/>
          <w:highlight w:val="none"/>
        </w:rPr>
      </w:pPr>
      <w:r>
        <w:rPr>
          <w:rFonts w:hint="eastAsia" w:ascii="宋体" w:hAnsi="宋体"/>
          <w:strike/>
          <w:color w:val="auto"/>
          <w:highlight w:val="none"/>
        </w:rPr>
        <w:t>（注：此委托书格式供参考，各地可根据实际需求更改）</w:t>
      </w:r>
    </w:p>
    <w:p>
      <w:pPr>
        <w:widowControl/>
        <w:autoSpaceDN/>
        <w:rPr>
          <w:rFonts w:ascii="宋体" w:hAnsi="宋体"/>
          <w:bCs/>
          <w:color w:val="auto"/>
          <w:highlight w:val="none"/>
        </w:rPr>
      </w:pPr>
      <w:r>
        <w:rPr>
          <w:color w:val="auto"/>
          <w:sz w:val="28"/>
          <w:szCs w:val="28"/>
          <w:highlight w:val="none"/>
        </w:rPr>
        <w:br w:type="page"/>
      </w:r>
    </w:p>
    <w:p>
      <w:pPr>
        <w:spacing w:line="360" w:lineRule="auto"/>
        <w:jc w:val="center"/>
        <w:rPr>
          <w:rFonts w:ascii="宋体" w:hAnsi="宋体"/>
          <w:b/>
          <w:bCs/>
          <w:color w:val="auto"/>
          <w:highlight w:val="none"/>
        </w:rPr>
      </w:pPr>
      <w:r>
        <w:rPr>
          <w:rFonts w:hint="eastAsia" w:ascii="宋体" w:hAnsi="宋体"/>
          <w:b/>
          <w:bCs/>
          <w:color w:val="auto"/>
          <w:highlight w:val="none"/>
        </w:rPr>
        <w:t>业绩汇总表（资格后审业绩条件的汇总）（若有）</w:t>
      </w:r>
    </w:p>
    <w:tbl>
      <w:tblPr>
        <w:tblStyle w:val="18"/>
        <w:tblW w:w="9679" w:type="dxa"/>
        <w:tblInd w:w="-31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8"/>
        <w:gridCol w:w="1843"/>
        <w:gridCol w:w="1417"/>
        <w:gridCol w:w="1276"/>
        <w:gridCol w:w="1745"/>
        <w:gridCol w:w="1255"/>
        <w:gridCol w:w="14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00" w:hRule="atLeast"/>
        </w:trPr>
        <w:tc>
          <w:tcPr>
            <w:tcW w:w="728" w:type="dxa"/>
            <w:tcBorders>
              <w:top w:val="single" w:color="000000" w:sz="12" w:space="0"/>
              <w:left w:val="single" w:color="000000" w:sz="12" w:space="0"/>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序号</w:t>
            </w:r>
          </w:p>
        </w:tc>
        <w:tc>
          <w:tcPr>
            <w:tcW w:w="1843"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该业绩证明对象</w:t>
            </w:r>
          </w:p>
        </w:tc>
        <w:tc>
          <w:tcPr>
            <w:tcW w:w="1417"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项目名称</w:t>
            </w:r>
          </w:p>
        </w:tc>
        <w:tc>
          <w:tcPr>
            <w:tcW w:w="1276"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建设单位（项目业主）</w:t>
            </w:r>
          </w:p>
        </w:tc>
        <w:tc>
          <w:tcPr>
            <w:tcW w:w="1745"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与评审有关的时间、规模、技术指标及其他要求</w:t>
            </w:r>
          </w:p>
        </w:tc>
        <w:tc>
          <w:tcPr>
            <w:tcW w:w="1255" w:type="dxa"/>
            <w:tcBorders>
              <w:top w:val="single" w:color="000000" w:sz="12"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提交证明材料内容</w:t>
            </w:r>
          </w:p>
        </w:tc>
        <w:tc>
          <w:tcPr>
            <w:tcW w:w="1415" w:type="dxa"/>
            <w:tcBorders>
              <w:top w:val="single" w:color="000000" w:sz="12" w:space="0"/>
              <w:left w:val="nil"/>
              <w:bottom w:val="single" w:color="000000" w:sz="6" w:space="0"/>
              <w:right w:val="single" w:color="000000" w:sz="12"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在投标文件的位置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72" w:hRule="atLeast"/>
        </w:trPr>
        <w:tc>
          <w:tcPr>
            <w:tcW w:w="728" w:type="dxa"/>
            <w:tcBorders>
              <w:top w:val="single" w:color="000000" w:sz="6" w:space="0"/>
              <w:left w:val="single" w:color="000000" w:sz="12" w:space="0"/>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1</w:t>
            </w:r>
          </w:p>
        </w:tc>
        <w:tc>
          <w:tcPr>
            <w:tcW w:w="1843"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例如：企业名称或项目负责人或技术负责人名字等</w:t>
            </w:r>
          </w:p>
        </w:tc>
        <w:tc>
          <w:tcPr>
            <w:tcW w:w="1417"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例如：XX工程等</w:t>
            </w:r>
          </w:p>
        </w:tc>
        <w:tc>
          <w:tcPr>
            <w:tcW w:w="1276"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例如：XX公司或指挥部等</w:t>
            </w:r>
          </w:p>
        </w:tc>
        <w:tc>
          <w:tcPr>
            <w:tcW w:w="1745"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例如：X年X月X日完成长度或深度X米等</w:t>
            </w:r>
          </w:p>
        </w:tc>
        <w:tc>
          <w:tcPr>
            <w:tcW w:w="1255"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例如：施工合同或中标通知书等</w:t>
            </w:r>
          </w:p>
        </w:tc>
        <w:tc>
          <w:tcPr>
            <w:tcW w:w="1415" w:type="dxa"/>
            <w:tcBorders>
              <w:top w:val="single" w:color="000000" w:sz="6" w:space="0"/>
              <w:left w:val="nil"/>
              <w:bottom w:val="single" w:color="000000" w:sz="6" w:space="0"/>
              <w:right w:val="single" w:color="000000" w:sz="12"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例如：投标文件第X页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728" w:type="dxa"/>
            <w:tcBorders>
              <w:top w:val="single" w:color="000000" w:sz="6" w:space="0"/>
              <w:left w:val="single" w:color="000000" w:sz="12" w:space="0"/>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2</w:t>
            </w:r>
          </w:p>
        </w:tc>
        <w:tc>
          <w:tcPr>
            <w:tcW w:w="1843" w:type="dxa"/>
            <w:tcBorders>
              <w:top w:val="single" w:color="000000" w:sz="6" w:space="0"/>
              <w:left w:val="nil"/>
              <w:bottom w:val="single" w:color="000000" w:sz="6" w:space="0"/>
              <w:right w:val="single" w:color="000000" w:sz="6" w:space="0"/>
            </w:tcBorders>
            <w:vAlign w:val="center"/>
          </w:tcPr>
          <w:p>
            <w:pPr>
              <w:kinsoku w:val="0"/>
              <w:spacing w:line="320" w:lineRule="exact"/>
              <w:jc w:val="center"/>
              <w:rPr>
                <w:rFonts w:ascii="宋体" w:hAnsi="宋体"/>
                <w:color w:val="auto"/>
                <w:highlight w:val="none"/>
              </w:rPr>
            </w:pPr>
            <w:r>
              <w:rPr>
                <w:rFonts w:hint="eastAsia" w:ascii="宋体" w:hAnsi="宋体"/>
                <w:color w:val="auto"/>
                <w:highlight w:val="none"/>
              </w:rPr>
              <w:t>……</w:t>
            </w:r>
          </w:p>
        </w:tc>
        <w:tc>
          <w:tcPr>
            <w:tcW w:w="1417" w:type="dxa"/>
            <w:tcBorders>
              <w:top w:val="single" w:color="000000" w:sz="6" w:space="0"/>
              <w:left w:val="nil"/>
              <w:bottom w:val="single" w:color="000000" w:sz="6" w:space="0"/>
              <w:right w:val="single" w:color="000000" w:sz="6" w:space="0"/>
            </w:tcBorders>
            <w:vAlign w:val="center"/>
          </w:tcPr>
          <w:p>
            <w:pPr>
              <w:keepNext/>
              <w:keepLines/>
              <w:kinsoku w:val="0"/>
              <w:spacing w:line="320" w:lineRule="exact"/>
              <w:jc w:val="center"/>
              <w:rPr>
                <w:rFonts w:ascii="宋体" w:hAnsi="宋体"/>
                <w:color w:val="auto"/>
                <w:highlight w:val="none"/>
              </w:rPr>
            </w:pPr>
          </w:p>
        </w:tc>
        <w:tc>
          <w:tcPr>
            <w:tcW w:w="1276" w:type="dxa"/>
            <w:tcBorders>
              <w:top w:val="single" w:color="000000" w:sz="6" w:space="0"/>
              <w:left w:val="nil"/>
              <w:bottom w:val="single" w:color="000000" w:sz="6" w:space="0"/>
              <w:right w:val="single" w:color="000000" w:sz="6" w:space="0"/>
            </w:tcBorders>
            <w:vAlign w:val="center"/>
          </w:tcPr>
          <w:p>
            <w:pPr>
              <w:keepNext/>
              <w:keepLines/>
              <w:kinsoku w:val="0"/>
              <w:spacing w:line="320" w:lineRule="exact"/>
              <w:jc w:val="center"/>
              <w:rPr>
                <w:rFonts w:ascii="宋体" w:hAnsi="宋体"/>
                <w:color w:val="auto"/>
                <w:highlight w:val="none"/>
              </w:rPr>
            </w:pPr>
          </w:p>
        </w:tc>
        <w:tc>
          <w:tcPr>
            <w:tcW w:w="1745" w:type="dxa"/>
            <w:tcBorders>
              <w:top w:val="single" w:color="000000" w:sz="6" w:space="0"/>
              <w:left w:val="nil"/>
              <w:bottom w:val="single" w:color="000000" w:sz="6" w:space="0"/>
              <w:right w:val="single" w:color="000000" w:sz="6" w:space="0"/>
            </w:tcBorders>
            <w:vAlign w:val="center"/>
          </w:tcPr>
          <w:p>
            <w:pPr>
              <w:keepNext/>
              <w:keepLines/>
              <w:kinsoku w:val="0"/>
              <w:spacing w:line="320" w:lineRule="exact"/>
              <w:jc w:val="center"/>
              <w:rPr>
                <w:rFonts w:ascii="宋体" w:hAnsi="宋体"/>
                <w:color w:val="auto"/>
                <w:highlight w:val="none"/>
              </w:rPr>
            </w:pPr>
          </w:p>
        </w:tc>
        <w:tc>
          <w:tcPr>
            <w:tcW w:w="1255" w:type="dxa"/>
            <w:tcBorders>
              <w:top w:val="single" w:color="000000" w:sz="6" w:space="0"/>
              <w:left w:val="nil"/>
              <w:bottom w:val="single" w:color="000000" w:sz="6" w:space="0"/>
              <w:right w:val="single" w:color="000000" w:sz="6" w:space="0"/>
            </w:tcBorders>
            <w:vAlign w:val="center"/>
          </w:tcPr>
          <w:p>
            <w:pPr>
              <w:keepNext/>
              <w:keepLines/>
              <w:kinsoku w:val="0"/>
              <w:spacing w:line="320" w:lineRule="exact"/>
              <w:jc w:val="center"/>
              <w:rPr>
                <w:rFonts w:ascii="宋体" w:hAnsi="宋体"/>
                <w:color w:val="auto"/>
                <w:highlight w:val="none"/>
              </w:rPr>
            </w:pPr>
          </w:p>
        </w:tc>
        <w:tc>
          <w:tcPr>
            <w:tcW w:w="1415" w:type="dxa"/>
            <w:tcBorders>
              <w:top w:val="single" w:color="000000" w:sz="6" w:space="0"/>
              <w:left w:val="nil"/>
              <w:bottom w:val="single" w:color="000000" w:sz="6" w:space="0"/>
              <w:right w:val="single" w:color="000000" w:sz="12" w:space="0"/>
            </w:tcBorders>
            <w:vAlign w:val="center"/>
          </w:tcPr>
          <w:p>
            <w:pPr>
              <w:keepNext/>
              <w:keepLines/>
              <w:spacing w:line="320" w:lineRule="exact"/>
              <w:jc w:val="center"/>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27" w:hRule="atLeast"/>
        </w:trPr>
        <w:tc>
          <w:tcPr>
            <w:tcW w:w="728" w:type="dxa"/>
            <w:tcBorders>
              <w:top w:val="single" w:color="000000" w:sz="6" w:space="0"/>
              <w:left w:val="single" w:color="000000" w:sz="12" w:space="0"/>
              <w:bottom w:val="single" w:color="000000" w:sz="12" w:space="0"/>
              <w:right w:val="single" w:color="000000" w:sz="6" w:space="0"/>
            </w:tcBorders>
            <w:vAlign w:val="center"/>
          </w:tcPr>
          <w:p>
            <w:pPr>
              <w:keepNext/>
              <w:keepLines/>
              <w:spacing w:line="320" w:lineRule="exact"/>
              <w:jc w:val="center"/>
              <w:rPr>
                <w:rFonts w:ascii="宋体" w:hAnsi="宋体"/>
                <w:color w:val="auto"/>
                <w:highlight w:val="none"/>
              </w:rPr>
            </w:pPr>
          </w:p>
        </w:tc>
        <w:tc>
          <w:tcPr>
            <w:tcW w:w="1843" w:type="dxa"/>
            <w:tcBorders>
              <w:top w:val="single" w:color="000000" w:sz="6" w:space="0"/>
              <w:left w:val="nil"/>
              <w:bottom w:val="single" w:color="000000" w:sz="12" w:space="0"/>
              <w:right w:val="single" w:color="000000" w:sz="6" w:space="0"/>
            </w:tcBorders>
            <w:vAlign w:val="center"/>
          </w:tcPr>
          <w:p>
            <w:pPr>
              <w:keepNext/>
              <w:keepLines/>
              <w:kinsoku w:val="0"/>
              <w:spacing w:line="320" w:lineRule="exact"/>
              <w:jc w:val="center"/>
              <w:rPr>
                <w:rFonts w:ascii="宋体" w:hAnsi="宋体"/>
                <w:color w:val="auto"/>
                <w:highlight w:val="none"/>
              </w:rPr>
            </w:pPr>
          </w:p>
        </w:tc>
        <w:tc>
          <w:tcPr>
            <w:tcW w:w="1417" w:type="dxa"/>
            <w:tcBorders>
              <w:top w:val="single" w:color="000000" w:sz="6" w:space="0"/>
              <w:left w:val="nil"/>
              <w:bottom w:val="single" w:color="000000" w:sz="12" w:space="0"/>
              <w:right w:val="single" w:color="000000" w:sz="6" w:space="0"/>
            </w:tcBorders>
            <w:vAlign w:val="center"/>
          </w:tcPr>
          <w:p>
            <w:pPr>
              <w:keepNext/>
              <w:keepLines/>
              <w:kinsoku w:val="0"/>
              <w:spacing w:line="320" w:lineRule="exact"/>
              <w:jc w:val="center"/>
              <w:rPr>
                <w:rFonts w:ascii="宋体" w:hAnsi="宋体"/>
                <w:color w:val="auto"/>
                <w:highlight w:val="none"/>
              </w:rPr>
            </w:pPr>
          </w:p>
        </w:tc>
        <w:tc>
          <w:tcPr>
            <w:tcW w:w="1276" w:type="dxa"/>
            <w:tcBorders>
              <w:top w:val="single" w:color="000000" w:sz="6" w:space="0"/>
              <w:left w:val="nil"/>
              <w:bottom w:val="single" w:color="000000" w:sz="12" w:space="0"/>
              <w:right w:val="single" w:color="000000" w:sz="6" w:space="0"/>
            </w:tcBorders>
            <w:vAlign w:val="center"/>
          </w:tcPr>
          <w:p>
            <w:pPr>
              <w:keepNext/>
              <w:keepLines/>
              <w:spacing w:line="320" w:lineRule="exact"/>
              <w:jc w:val="center"/>
              <w:rPr>
                <w:rFonts w:ascii="宋体" w:hAnsi="宋体"/>
                <w:color w:val="auto"/>
                <w:highlight w:val="none"/>
              </w:rPr>
            </w:pPr>
          </w:p>
        </w:tc>
        <w:tc>
          <w:tcPr>
            <w:tcW w:w="1745" w:type="dxa"/>
            <w:tcBorders>
              <w:top w:val="single" w:color="000000" w:sz="6" w:space="0"/>
              <w:left w:val="nil"/>
              <w:bottom w:val="single" w:color="000000" w:sz="12" w:space="0"/>
              <w:right w:val="single" w:color="000000" w:sz="6" w:space="0"/>
            </w:tcBorders>
            <w:vAlign w:val="center"/>
          </w:tcPr>
          <w:p>
            <w:pPr>
              <w:keepNext/>
              <w:keepLines/>
              <w:spacing w:line="320" w:lineRule="exact"/>
              <w:jc w:val="center"/>
              <w:rPr>
                <w:rFonts w:ascii="宋体" w:hAnsi="宋体"/>
                <w:color w:val="auto"/>
                <w:highlight w:val="none"/>
              </w:rPr>
            </w:pPr>
          </w:p>
        </w:tc>
        <w:tc>
          <w:tcPr>
            <w:tcW w:w="1255" w:type="dxa"/>
            <w:tcBorders>
              <w:top w:val="single" w:color="000000" w:sz="6" w:space="0"/>
              <w:left w:val="nil"/>
              <w:bottom w:val="single" w:color="000000" w:sz="12" w:space="0"/>
              <w:right w:val="single" w:color="000000" w:sz="6" w:space="0"/>
            </w:tcBorders>
            <w:vAlign w:val="center"/>
          </w:tcPr>
          <w:p>
            <w:pPr>
              <w:keepNext/>
              <w:keepLines/>
              <w:spacing w:line="320" w:lineRule="exact"/>
              <w:jc w:val="center"/>
              <w:rPr>
                <w:rFonts w:ascii="宋体" w:hAnsi="宋体"/>
                <w:color w:val="auto"/>
                <w:highlight w:val="none"/>
              </w:rPr>
            </w:pPr>
          </w:p>
        </w:tc>
        <w:tc>
          <w:tcPr>
            <w:tcW w:w="1415" w:type="dxa"/>
            <w:tcBorders>
              <w:top w:val="single" w:color="000000" w:sz="6" w:space="0"/>
              <w:left w:val="nil"/>
              <w:bottom w:val="single" w:color="000000" w:sz="12" w:space="0"/>
              <w:right w:val="single" w:color="000000" w:sz="12" w:space="0"/>
            </w:tcBorders>
            <w:vAlign w:val="center"/>
          </w:tcPr>
          <w:p>
            <w:pPr>
              <w:keepNext/>
              <w:keepLines/>
              <w:spacing w:line="320" w:lineRule="exact"/>
              <w:jc w:val="center"/>
              <w:rPr>
                <w:rFonts w:ascii="宋体" w:hAnsi="宋体"/>
                <w:color w:val="auto"/>
                <w:highlight w:val="none"/>
              </w:rPr>
            </w:pPr>
          </w:p>
        </w:tc>
      </w:tr>
    </w:tbl>
    <w:p>
      <w:pPr>
        <w:spacing w:line="400" w:lineRule="exact"/>
        <w:rPr>
          <w:rFonts w:ascii="宋体" w:hAnsi="宋体"/>
          <w:color w:val="auto"/>
          <w:highlight w:val="none"/>
        </w:rPr>
      </w:pPr>
      <w:r>
        <w:rPr>
          <w:rFonts w:hint="eastAsia" w:ascii="宋体" w:hAnsi="宋体"/>
          <w:color w:val="auto"/>
          <w:highlight w:val="none"/>
        </w:rPr>
        <w:t>备注：不填写此表的不作为评审依据，并附上相关附件</w:t>
      </w:r>
    </w:p>
    <w:p>
      <w:pPr>
        <w:widowControl/>
        <w:autoSpaceDN/>
        <w:rPr>
          <w:rFonts w:ascii="Microsoft JhengHei" w:eastAsia="Microsoft JhengHei"/>
          <w:b/>
          <w:bCs/>
          <w:color w:val="auto"/>
          <w:highlight w:val="none"/>
        </w:rPr>
      </w:pPr>
      <w:r>
        <w:rPr>
          <w:rFonts w:hint="eastAsia" w:ascii="Microsoft JhengHei" w:eastAsia="Microsoft JhengHei"/>
          <w:b/>
          <w:bCs/>
          <w:color w:val="auto"/>
          <w:highlight w:val="none"/>
        </w:rPr>
        <w:br w:type="page"/>
      </w:r>
    </w:p>
    <w:p>
      <w:pPr>
        <w:jc w:val="center"/>
        <w:rPr>
          <w:rFonts w:ascii="宋体" w:hAnsi="宋体"/>
          <w:b/>
          <w:bCs/>
          <w:color w:val="auto"/>
          <w:sz w:val="36"/>
          <w:szCs w:val="36"/>
          <w:highlight w:val="none"/>
        </w:rPr>
      </w:pPr>
      <w:r>
        <w:rPr>
          <w:rFonts w:hint="eastAsia" w:ascii="宋体" w:hAnsi="宋体"/>
          <w:b/>
          <w:bCs/>
          <w:color w:val="auto"/>
          <w:sz w:val="36"/>
          <w:szCs w:val="36"/>
          <w:highlight w:val="none"/>
        </w:rPr>
        <w:t>联合体投标协议书</w:t>
      </w:r>
    </w:p>
    <w:p>
      <w:pPr>
        <w:snapToGrid w:val="0"/>
        <w:spacing w:line="360" w:lineRule="auto"/>
        <w:jc w:val="center"/>
        <w:rPr>
          <w:rFonts w:ascii="宋体" w:hAnsi="宋体" w:cs="Arial"/>
          <w:color w:val="auto"/>
          <w:highlight w:val="none"/>
        </w:rPr>
      </w:pPr>
      <w:r>
        <w:rPr>
          <w:rFonts w:hint="eastAsia" w:ascii="宋体" w:hAnsi="宋体" w:cs="Arial"/>
          <w:color w:val="auto"/>
          <w:highlight w:val="none"/>
        </w:rPr>
        <w:t>（格式供参考）</w:t>
      </w:r>
    </w:p>
    <w:p>
      <w:pPr>
        <w:snapToGrid w:val="0"/>
        <w:spacing w:line="360" w:lineRule="auto"/>
        <w:jc w:val="center"/>
        <w:rPr>
          <w:rFonts w:ascii="宋体" w:hAnsi="宋体" w:cs="Arial"/>
          <w:color w:val="auto"/>
          <w:highlight w:val="none"/>
        </w:rPr>
      </w:pPr>
    </w:p>
    <w:p>
      <w:pPr>
        <w:snapToGrid w:val="0"/>
        <w:spacing w:line="360" w:lineRule="auto"/>
        <w:rPr>
          <w:rFonts w:ascii="宋体" w:hAnsi="宋体" w:cs="Arial"/>
          <w:color w:val="auto"/>
          <w:highlight w:val="none"/>
        </w:rPr>
      </w:pPr>
      <w:r>
        <w:rPr>
          <w:rFonts w:hint="eastAsia" w:ascii="宋体" w:hAnsi="宋体" w:cs="Arial"/>
          <w:color w:val="auto"/>
          <w:highlight w:val="none"/>
        </w:rPr>
        <w:t>（所有成员单位名称）自愿组成（联合体名称）联合体，共同参加（项目名称）投标。现就联合体投标事宜订立如下协议。</w:t>
      </w:r>
    </w:p>
    <w:p>
      <w:pPr>
        <w:snapToGrid w:val="0"/>
        <w:spacing w:line="360" w:lineRule="auto"/>
        <w:rPr>
          <w:rFonts w:ascii="宋体" w:hAnsi="宋体" w:cs="Arial"/>
          <w:color w:val="auto"/>
          <w:highlight w:val="none"/>
        </w:rPr>
      </w:pPr>
      <w:r>
        <w:rPr>
          <w:rFonts w:hint="eastAsia" w:ascii="宋体" w:hAnsi="宋体" w:cs="Arial"/>
          <w:color w:val="auto"/>
          <w:highlight w:val="none"/>
        </w:rPr>
        <w:t>1、（某成员单位名称）为（联合体名称）牵头人。</w:t>
      </w:r>
    </w:p>
    <w:p>
      <w:pPr>
        <w:snapToGrid w:val="0"/>
        <w:spacing w:line="360" w:lineRule="auto"/>
        <w:rPr>
          <w:rFonts w:ascii="宋体" w:hAnsi="宋体" w:cs="Arial"/>
          <w:color w:val="auto"/>
          <w:highlight w:val="none"/>
        </w:rPr>
      </w:pPr>
      <w:r>
        <w:rPr>
          <w:rFonts w:hint="eastAsia" w:ascii="宋体" w:hAnsi="宋体" w:cs="Arial"/>
          <w:color w:val="auto"/>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spacing w:line="360" w:lineRule="auto"/>
        <w:rPr>
          <w:rFonts w:ascii="宋体" w:hAnsi="宋体" w:cs="Arial"/>
          <w:color w:val="auto"/>
          <w:highlight w:val="none"/>
        </w:rPr>
      </w:pPr>
      <w:r>
        <w:rPr>
          <w:rFonts w:hint="eastAsia" w:ascii="宋体" w:hAnsi="宋体" w:cs="Arial"/>
          <w:color w:val="auto"/>
          <w:highlight w:val="none"/>
        </w:rPr>
        <w:t>3、联合体将按照招标文件的各项要求，递交投标文件，履行合同，并对招标人承担连带责任。</w:t>
      </w:r>
    </w:p>
    <w:p>
      <w:pPr>
        <w:snapToGrid w:val="0"/>
        <w:spacing w:line="360" w:lineRule="auto"/>
        <w:rPr>
          <w:rFonts w:ascii="宋体" w:hAnsi="宋体" w:cs="Arial"/>
          <w:color w:val="auto"/>
          <w:highlight w:val="none"/>
        </w:rPr>
      </w:pPr>
      <w:r>
        <w:rPr>
          <w:rFonts w:hint="eastAsia" w:ascii="宋体" w:hAnsi="宋体" w:cs="Arial"/>
          <w:color w:val="auto"/>
          <w:highlight w:val="none"/>
        </w:rPr>
        <w:t>4、联合体各成员单位内部的职责分工如下</w:t>
      </w:r>
      <w:r>
        <w:rPr>
          <w:rFonts w:hint="eastAsia" w:ascii="宋体" w:hAnsi="宋体" w:cs="Arial"/>
          <w:color w:val="auto"/>
          <w:highlight w:val="none"/>
          <w:u w:val="single"/>
        </w:rPr>
        <w:t xml:space="preserve">：                     </w:t>
      </w:r>
      <w:r>
        <w:rPr>
          <w:rFonts w:hint="eastAsia" w:ascii="宋体" w:hAnsi="宋体" w:cs="Arial"/>
          <w:color w:val="auto"/>
          <w:highlight w:val="none"/>
        </w:rPr>
        <w:t>。</w:t>
      </w:r>
    </w:p>
    <w:p>
      <w:pPr>
        <w:snapToGrid w:val="0"/>
        <w:spacing w:line="360" w:lineRule="auto"/>
        <w:rPr>
          <w:rFonts w:ascii="宋体" w:hAnsi="宋体" w:cs="Arial"/>
          <w:color w:val="auto"/>
          <w:highlight w:val="none"/>
        </w:rPr>
      </w:pPr>
      <w:r>
        <w:rPr>
          <w:rFonts w:hint="eastAsia" w:ascii="宋体" w:hAnsi="宋体" w:cs="Arial"/>
          <w:color w:val="auto"/>
          <w:highlight w:val="none"/>
        </w:rPr>
        <w:t>5、联合体各成员单位关于收取招标人支付项目各项费用的约定如下：</w:t>
      </w:r>
      <w:r>
        <w:rPr>
          <w:rFonts w:hint="eastAsia" w:ascii="宋体" w:hAnsi="宋体" w:cs="Arial"/>
          <w:color w:val="auto"/>
          <w:highlight w:val="none"/>
          <w:u w:val="single"/>
        </w:rPr>
        <w:t xml:space="preserve">      </w:t>
      </w:r>
      <w:r>
        <w:rPr>
          <w:rFonts w:hint="eastAsia" w:ascii="宋体" w:hAnsi="宋体" w:cs="Arial"/>
          <w:color w:val="auto"/>
          <w:highlight w:val="none"/>
        </w:rPr>
        <w:t>。</w:t>
      </w:r>
    </w:p>
    <w:p>
      <w:pPr>
        <w:snapToGrid w:val="0"/>
        <w:spacing w:line="360" w:lineRule="auto"/>
        <w:rPr>
          <w:rFonts w:ascii="宋体" w:hAnsi="宋体" w:cs="Arial"/>
          <w:color w:val="auto"/>
          <w:highlight w:val="none"/>
        </w:rPr>
      </w:pPr>
      <w:r>
        <w:rPr>
          <w:rFonts w:hint="eastAsia" w:ascii="宋体" w:hAnsi="宋体" w:cs="Arial"/>
          <w:color w:val="auto"/>
          <w:highlight w:val="none"/>
        </w:rPr>
        <w:t>6、本协议书自签署之日起生效。</w:t>
      </w:r>
    </w:p>
    <w:p>
      <w:pPr>
        <w:snapToGrid w:val="0"/>
        <w:spacing w:line="360" w:lineRule="auto"/>
        <w:rPr>
          <w:rFonts w:ascii="宋体" w:hAnsi="宋体" w:cs="Arial"/>
          <w:color w:val="auto"/>
          <w:highlight w:val="none"/>
        </w:rPr>
      </w:pPr>
      <w:r>
        <w:rPr>
          <w:rFonts w:hint="eastAsia" w:ascii="宋体" w:hAnsi="宋体" w:cs="Arial"/>
          <w:color w:val="auto"/>
          <w:highlight w:val="none"/>
        </w:rPr>
        <w:t>7、本协议书一式份，联合体成员和招标人各执一份。</w:t>
      </w:r>
    </w:p>
    <w:p>
      <w:pPr>
        <w:snapToGrid w:val="0"/>
        <w:spacing w:line="360" w:lineRule="auto"/>
        <w:rPr>
          <w:rFonts w:ascii="宋体" w:hAnsi="宋体" w:cs="Arial"/>
          <w:color w:val="auto"/>
          <w:highlight w:val="none"/>
        </w:rPr>
      </w:pPr>
      <w:r>
        <w:rPr>
          <w:rFonts w:hint="eastAsia" w:ascii="宋体" w:hAnsi="宋体" w:cs="Arial"/>
          <w:color w:val="auto"/>
          <w:highlight w:val="none"/>
        </w:rPr>
        <w:t>注：本协议书由委托代理人签字的，应附法定代表人签字或盖章的授权委托书。</w:t>
      </w:r>
    </w:p>
    <w:p>
      <w:pPr>
        <w:snapToGrid w:val="0"/>
        <w:spacing w:line="360" w:lineRule="auto"/>
        <w:rPr>
          <w:rFonts w:ascii="宋体" w:hAnsi="宋体" w:cs="Arial"/>
          <w:color w:val="auto"/>
          <w:highlight w:val="none"/>
        </w:rPr>
      </w:pPr>
    </w:p>
    <w:p>
      <w:pPr>
        <w:snapToGrid w:val="0"/>
        <w:spacing w:line="360" w:lineRule="auto"/>
        <w:ind w:firstLine="2280" w:firstLineChars="950"/>
        <w:rPr>
          <w:rFonts w:ascii="宋体" w:hAnsi="宋体" w:cs="Arial"/>
          <w:color w:val="auto"/>
          <w:highlight w:val="none"/>
        </w:rPr>
      </w:pPr>
      <w:r>
        <w:rPr>
          <w:rFonts w:hint="eastAsia" w:ascii="宋体" w:hAnsi="宋体" w:cs="Arial"/>
          <w:color w:val="auto"/>
          <w:highlight w:val="none"/>
        </w:rPr>
        <w:t>牵头人名称：</w:t>
      </w:r>
      <w:r>
        <w:rPr>
          <w:rFonts w:hint="eastAsia" w:ascii="宋体" w:hAnsi="宋体" w:cs="Arial"/>
          <w:color w:val="auto"/>
          <w:highlight w:val="none"/>
          <w:u w:val="single"/>
        </w:rPr>
        <w:t xml:space="preserve">                          （单位盖章）</w:t>
      </w:r>
    </w:p>
    <w:p>
      <w:pPr>
        <w:snapToGrid w:val="0"/>
        <w:spacing w:line="360" w:lineRule="auto"/>
        <w:ind w:firstLine="2280" w:firstLineChars="950"/>
        <w:rPr>
          <w:rFonts w:ascii="宋体" w:hAnsi="宋体" w:cs="Arial"/>
          <w:color w:val="auto"/>
          <w:highlight w:val="none"/>
          <w:u w:val="single"/>
        </w:rPr>
      </w:pPr>
      <w:r>
        <w:rPr>
          <w:rFonts w:hint="eastAsia" w:ascii="宋体" w:hAnsi="宋体" w:cs="Arial"/>
          <w:color w:val="auto"/>
          <w:highlight w:val="none"/>
        </w:rPr>
        <w:t>法定代表人或其委托代理人（</w:t>
      </w:r>
      <w:r>
        <w:rPr>
          <w:rFonts w:hint="eastAsia" w:ascii="宋体" w:hAnsi="宋体" w:cs="Courier New"/>
          <w:color w:val="auto"/>
          <w:highlight w:val="none"/>
        </w:rPr>
        <w:t>签字或盖章</w:t>
      </w:r>
      <w:r>
        <w:rPr>
          <w:rFonts w:hint="eastAsia" w:ascii="宋体" w:hAnsi="宋体" w:cs="Arial"/>
          <w:color w:val="auto"/>
          <w:highlight w:val="none"/>
        </w:rPr>
        <w:t>）：</w:t>
      </w:r>
    </w:p>
    <w:p>
      <w:pPr>
        <w:snapToGrid w:val="0"/>
        <w:spacing w:line="360" w:lineRule="auto"/>
        <w:rPr>
          <w:rFonts w:ascii="宋体" w:hAnsi="宋体" w:cs="Arial"/>
          <w:color w:val="auto"/>
          <w:highlight w:val="none"/>
          <w:u w:val="single"/>
        </w:rPr>
      </w:pPr>
    </w:p>
    <w:p>
      <w:pPr>
        <w:snapToGrid w:val="0"/>
        <w:spacing w:line="360" w:lineRule="auto"/>
        <w:ind w:firstLine="2280" w:firstLineChars="950"/>
        <w:rPr>
          <w:rFonts w:ascii="宋体" w:hAnsi="宋体" w:cs="Arial"/>
          <w:color w:val="auto"/>
          <w:highlight w:val="none"/>
          <w:u w:val="single"/>
        </w:rPr>
      </w:pPr>
      <w:r>
        <w:rPr>
          <w:rFonts w:hint="eastAsia" w:ascii="宋体" w:hAnsi="宋体" w:cs="Arial"/>
          <w:color w:val="auto"/>
          <w:highlight w:val="none"/>
        </w:rPr>
        <w:t>成员名称：</w:t>
      </w:r>
      <w:r>
        <w:rPr>
          <w:rFonts w:hint="eastAsia" w:ascii="宋体" w:hAnsi="宋体" w:cs="Arial"/>
          <w:color w:val="auto"/>
          <w:highlight w:val="none"/>
          <w:u w:val="single"/>
        </w:rPr>
        <w:t xml:space="preserve">                           （单位盖章）</w:t>
      </w:r>
    </w:p>
    <w:p>
      <w:pPr>
        <w:snapToGrid w:val="0"/>
        <w:spacing w:line="360" w:lineRule="auto"/>
        <w:ind w:firstLine="2280" w:firstLineChars="950"/>
        <w:rPr>
          <w:rFonts w:ascii="宋体" w:hAnsi="宋体" w:cs="Arial"/>
          <w:color w:val="auto"/>
          <w:highlight w:val="none"/>
          <w:u w:val="single"/>
        </w:rPr>
      </w:pPr>
      <w:r>
        <w:rPr>
          <w:rFonts w:hint="eastAsia" w:ascii="宋体" w:hAnsi="宋体" w:cs="Arial"/>
          <w:color w:val="auto"/>
          <w:highlight w:val="none"/>
        </w:rPr>
        <w:t>法定代表人或其委托代理人（</w:t>
      </w:r>
      <w:r>
        <w:rPr>
          <w:rFonts w:hint="eastAsia" w:ascii="宋体" w:hAnsi="宋体" w:cs="Courier New"/>
          <w:color w:val="auto"/>
          <w:highlight w:val="none"/>
        </w:rPr>
        <w:t>签字或盖章</w:t>
      </w:r>
      <w:r>
        <w:rPr>
          <w:rFonts w:hint="eastAsia" w:ascii="宋体" w:hAnsi="宋体" w:cs="Arial"/>
          <w:color w:val="auto"/>
          <w:highlight w:val="none"/>
        </w:rPr>
        <w:t>）：</w:t>
      </w:r>
    </w:p>
    <w:p>
      <w:pPr>
        <w:snapToGrid w:val="0"/>
        <w:spacing w:line="360" w:lineRule="auto"/>
        <w:ind w:firstLine="2280" w:firstLineChars="950"/>
        <w:rPr>
          <w:rFonts w:ascii="宋体" w:hAnsi="宋体" w:cs="Arial"/>
          <w:color w:val="auto"/>
          <w:highlight w:val="none"/>
          <w:u w:val="single"/>
        </w:rPr>
      </w:pPr>
      <w:r>
        <w:rPr>
          <w:rFonts w:hint="eastAsia" w:ascii="宋体" w:hAnsi="宋体" w:cs="Arial"/>
          <w:color w:val="auto"/>
          <w:highlight w:val="none"/>
        </w:rPr>
        <w:t>法定代表人或其委托代理人（</w:t>
      </w:r>
      <w:r>
        <w:rPr>
          <w:rFonts w:hint="eastAsia" w:ascii="宋体" w:hAnsi="宋体" w:cs="Courier New"/>
          <w:color w:val="auto"/>
          <w:highlight w:val="none"/>
        </w:rPr>
        <w:t>签字或盖章</w:t>
      </w:r>
      <w:r>
        <w:rPr>
          <w:rFonts w:hint="eastAsia" w:ascii="宋体" w:hAnsi="宋体" w:cs="Arial"/>
          <w:color w:val="auto"/>
          <w:highlight w:val="none"/>
        </w:rPr>
        <w:t>）</w:t>
      </w:r>
      <w:r>
        <w:rPr>
          <w:rFonts w:hint="eastAsia" w:ascii="宋体" w:hAnsi="宋体" w:cs="Arial"/>
          <w:color w:val="auto"/>
          <w:highlight w:val="none"/>
          <w:u w:val="single"/>
        </w:rPr>
        <w:t xml:space="preserve">：          </w:t>
      </w:r>
    </w:p>
    <w:p>
      <w:pPr>
        <w:pStyle w:val="17"/>
        <w:rPr>
          <w:color w:val="auto"/>
          <w:highlight w:val="none"/>
        </w:rPr>
      </w:pPr>
      <w:r>
        <w:rPr>
          <w:rFonts w:hint="eastAsia"/>
          <w:color w:val="auto"/>
          <w:highlight w:val="none"/>
        </w:rPr>
        <w:t xml:space="preserve">      年   月   日</w:t>
      </w:r>
    </w:p>
    <w:p>
      <w:pPr>
        <w:widowControl/>
        <w:autoSpaceDN/>
        <w:rPr>
          <w:rFonts w:ascii="Microsoft JhengHei" w:eastAsia="Microsoft JhengHei"/>
          <w:b/>
          <w:bCs/>
          <w:color w:val="auto"/>
          <w:highlight w:val="none"/>
        </w:rPr>
      </w:pPr>
      <w:r>
        <w:rPr>
          <w:rFonts w:hint="eastAsia" w:ascii="Microsoft JhengHei" w:eastAsia="Microsoft JhengHei"/>
          <w:b/>
          <w:bCs/>
          <w:color w:val="auto"/>
          <w:highlight w:val="none"/>
        </w:rPr>
        <w:br w:type="page"/>
      </w:r>
    </w:p>
    <w:p>
      <w:pPr>
        <w:spacing w:line="480" w:lineRule="auto"/>
        <w:ind w:firstLine="2891" w:firstLineChars="800"/>
        <w:jc w:val="both"/>
        <w:rPr>
          <w:color w:val="auto"/>
          <w:highlight w:val="none"/>
        </w:rPr>
      </w:pPr>
      <w:r>
        <w:rPr>
          <w:rFonts w:hint="eastAsia" w:ascii="宋体" w:hAnsi="宋体"/>
          <w:b/>
          <w:bCs/>
          <w:color w:val="auto"/>
          <w:sz w:val="36"/>
          <w:szCs w:val="36"/>
          <w:highlight w:val="none"/>
        </w:rPr>
        <w:t>投标保证金</w:t>
      </w:r>
    </w:p>
    <w:p>
      <w:pPr>
        <w:spacing w:line="480" w:lineRule="auto"/>
        <w:jc w:val="both"/>
        <w:rPr>
          <w:color w:val="auto"/>
          <w:highlight w:val="none"/>
        </w:rPr>
      </w:pPr>
      <w:r>
        <w:rPr>
          <w:rFonts w:hint="eastAsia" w:ascii="宋体" w:hAnsi="宋体"/>
          <w:color w:val="auto"/>
          <w:highlight w:val="none"/>
        </w:rPr>
        <w:t>提供以下证明材料之一：</w:t>
      </w:r>
    </w:p>
    <w:p>
      <w:pPr>
        <w:pStyle w:val="10"/>
        <w:kinsoku w:val="0"/>
        <w:spacing w:before="7" w:beforeAutospacing="0"/>
        <w:ind w:left="0" w:firstLine="480" w:firstLineChars="200"/>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1</w:t>
      </w:r>
      <w:r>
        <w:rPr>
          <w:rFonts w:hint="eastAsia" w:ascii="宋体" w:hAnsi="宋体" w:cs="Arial"/>
          <w:color w:val="auto"/>
          <w:highlight w:val="none"/>
        </w:rPr>
        <w:t>.银行转账凭证扫描（电子）件（投标人盖章）</w:t>
      </w:r>
      <w:r>
        <w:rPr>
          <w:rFonts w:hint="eastAsia" w:ascii="宋体" w:hAnsi="宋体" w:cs="Arial"/>
          <w:color w:val="auto"/>
          <w:highlight w:val="none"/>
          <w:lang w:eastAsia="zh-CN"/>
        </w:rPr>
        <w:t>（</w:t>
      </w:r>
      <w:r>
        <w:rPr>
          <w:rFonts w:hint="eastAsia" w:ascii="宋体" w:hAnsi="宋体" w:cs="Arial"/>
          <w:color w:val="auto"/>
          <w:highlight w:val="none"/>
          <w:lang w:val="en-US" w:eastAsia="zh-CN"/>
        </w:rPr>
        <w:t>缴纳投标保证金的单位提供银行转账凭证</w:t>
      </w:r>
      <w:r>
        <w:rPr>
          <w:rFonts w:hint="eastAsia" w:ascii="宋体" w:hAnsi="宋体" w:cs="Arial"/>
          <w:color w:val="auto"/>
          <w:highlight w:val="none"/>
          <w:lang w:eastAsia="zh-CN"/>
        </w:rPr>
        <w:t>）</w:t>
      </w:r>
    </w:p>
    <w:p>
      <w:pPr>
        <w:pStyle w:val="11"/>
        <w:ind w:firstLine="0" w:firstLineChars="0"/>
        <w:rPr>
          <w:rFonts w:hint="eastAsia" w:ascii="宋体" w:hAnsi="宋体" w:eastAsia="宋体" w:cs="Arial"/>
          <w:color w:val="auto"/>
          <w:sz w:val="24"/>
          <w:szCs w:val="24"/>
          <w:highlight w:val="none"/>
          <w:lang w:eastAsia="zh-CN"/>
        </w:rPr>
      </w:pPr>
      <w:r>
        <w:rPr>
          <w:rFonts w:hint="eastAsia" w:ascii="宋体" w:hAnsi="宋体" w:cs="Arial"/>
          <w:color w:val="auto"/>
          <w:sz w:val="24"/>
          <w:szCs w:val="24"/>
          <w:highlight w:val="none"/>
          <w:lang w:val="en-US" w:eastAsia="zh-CN"/>
        </w:rPr>
        <w:t>2</w:t>
      </w:r>
      <w:r>
        <w:rPr>
          <w:rFonts w:hint="eastAsia" w:ascii="宋体" w:hAnsi="宋体" w:cs="Arial"/>
          <w:color w:val="auto"/>
          <w:sz w:val="24"/>
          <w:szCs w:val="24"/>
          <w:highlight w:val="none"/>
        </w:rPr>
        <w:t>.保函扫描（电子）件（投标人盖章）</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办理保函的单位提供出函证明</w:t>
      </w:r>
      <w:r>
        <w:rPr>
          <w:rFonts w:hint="eastAsia" w:ascii="宋体" w:hAnsi="宋体" w:cs="Arial"/>
          <w:color w:val="auto"/>
          <w:sz w:val="24"/>
          <w:szCs w:val="24"/>
          <w:highlight w:val="none"/>
          <w:lang w:eastAsia="zh-CN"/>
        </w:rPr>
        <w:t>）</w:t>
      </w:r>
    </w:p>
    <w:p>
      <w:pPr>
        <w:pStyle w:val="11"/>
        <w:ind w:firstLine="240"/>
        <w:rPr>
          <w:rFonts w:ascii="宋体" w:hAnsi="宋体" w:cs="Arial"/>
          <w:color w:val="auto"/>
          <w:sz w:val="24"/>
          <w:szCs w:val="24"/>
          <w:highlight w:val="none"/>
        </w:rPr>
      </w:pPr>
    </w:p>
    <w:p>
      <w:pPr>
        <w:rPr>
          <w:color w:val="auto"/>
          <w:highlight w:val="none"/>
        </w:rPr>
      </w:pPr>
      <w:r>
        <w:rPr>
          <w:rFonts w:hint="eastAsia"/>
          <w:color w:val="auto"/>
          <w:highlight w:val="none"/>
        </w:rPr>
        <w:tab/>
      </w:r>
    </w:p>
    <w:p>
      <w:pPr>
        <w:rPr>
          <w:color w:val="auto"/>
          <w:highlight w:val="none"/>
        </w:rPr>
      </w:pPr>
    </w:p>
    <w:p>
      <w:bookmarkStart w:id="744" w:name="_GoBack"/>
      <w:bookmarkEnd w:id="744"/>
    </w:p>
    <w:sectPr>
      <w:type w:val="continuous"/>
      <w:pgSz w:w="11905" w:h="16838"/>
      <w:pgMar w:top="1400" w:right="1587" w:bottom="1123" w:left="1587" w:header="0" w:footer="9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S?o｡ﾀ?">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2A7" w:usb1="28CF4400" w:usb2="00000016" w:usb3="00000000" w:csb0="00100009" w:csb1="00000000"/>
  </w:font>
  <w:font w:name="新宋体">
    <w:panose1 w:val="02010609030101010101"/>
    <w:charset w:val="86"/>
    <w:family w:val="modern"/>
    <w:pitch w:val="default"/>
    <w:sig w:usb0="00000283" w:usb1="288F0000" w:usb2="00000006" w:usb3="00000000" w:csb0="00040001" w:csb1="00000000"/>
  </w:font>
  <w:font w:name="方正公文黑体">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63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63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0868D"/>
    <w:multiLevelType w:val="singleLevel"/>
    <w:tmpl w:val="84D0868D"/>
    <w:lvl w:ilvl="0" w:tentative="0">
      <w:start w:val="1"/>
      <w:numFmt w:val="decimal"/>
      <w:suff w:val="nothing"/>
      <w:lvlText w:val="%1．"/>
      <w:lvlJc w:val="left"/>
      <w:pPr>
        <w:ind w:left="0" w:firstLine="284"/>
      </w:pPr>
      <w:rPr>
        <w:rFonts w:hint="default"/>
      </w:rPr>
    </w:lvl>
  </w:abstractNum>
  <w:abstractNum w:abstractNumId="1">
    <w:nsid w:val="87E01B20"/>
    <w:multiLevelType w:val="singleLevel"/>
    <w:tmpl w:val="87E01B20"/>
    <w:lvl w:ilvl="0" w:tentative="0">
      <w:start w:val="1"/>
      <w:numFmt w:val="decimal"/>
      <w:suff w:val="nothing"/>
      <w:lvlText w:val="%1．"/>
      <w:lvlJc w:val="left"/>
      <w:pPr>
        <w:ind w:left="0" w:firstLine="284"/>
      </w:pPr>
      <w:rPr>
        <w:rFonts w:hint="default"/>
      </w:rPr>
    </w:lvl>
  </w:abstractNum>
  <w:abstractNum w:abstractNumId="2">
    <w:nsid w:val="8A86EF9E"/>
    <w:multiLevelType w:val="singleLevel"/>
    <w:tmpl w:val="8A86EF9E"/>
    <w:lvl w:ilvl="0" w:tentative="0">
      <w:start w:val="1"/>
      <w:numFmt w:val="decimal"/>
      <w:suff w:val="nothing"/>
      <w:lvlText w:val="%1."/>
      <w:lvlJc w:val="left"/>
      <w:pPr>
        <w:ind w:left="0" w:firstLine="283"/>
      </w:pPr>
      <w:rPr>
        <w:rFonts w:hint="default"/>
      </w:rPr>
    </w:lvl>
  </w:abstractNum>
  <w:abstractNum w:abstractNumId="3">
    <w:nsid w:val="8C4C5001"/>
    <w:multiLevelType w:val="singleLevel"/>
    <w:tmpl w:val="8C4C5001"/>
    <w:lvl w:ilvl="0" w:tentative="0">
      <w:start w:val="1"/>
      <w:numFmt w:val="decimal"/>
      <w:suff w:val="nothing"/>
      <w:lvlText w:val="%1．"/>
      <w:lvlJc w:val="left"/>
      <w:pPr>
        <w:ind w:left="0" w:firstLine="284"/>
      </w:pPr>
      <w:rPr>
        <w:rFonts w:hint="default"/>
      </w:rPr>
    </w:lvl>
  </w:abstractNum>
  <w:abstractNum w:abstractNumId="4">
    <w:nsid w:val="8C8955D5"/>
    <w:multiLevelType w:val="singleLevel"/>
    <w:tmpl w:val="8C8955D5"/>
    <w:lvl w:ilvl="0" w:tentative="0">
      <w:start w:val="1"/>
      <w:numFmt w:val="decimal"/>
      <w:suff w:val="nothing"/>
      <w:lvlText w:val="(%1)"/>
      <w:lvlJc w:val="left"/>
      <w:pPr>
        <w:ind w:left="0" w:firstLine="282"/>
      </w:pPr>
      <w:rPr>
        <w:rFonts w:hint="default"/>
      </w:rPr>
    </w:lvl>
  </w:abstractNum>
  <w:abstractNum w:abstractNumId="5">
    <w:nsid w:val="BE27F6C2"/>
    <w:multiLevelType w:val="singleLevel"/>
    <w:tmpl w:val="BE27F6C2"/>
    <w:lvl w:ilvl="0" w:tentative="0">
      <w:start w:val="1"/>
      <w:numFmt w:val="decimal"/>
      <w:lvlText w:val="%1."/>
      <w:lvlJc w:val="left"/>
      <w:pPr>
        <w:tabs>
          <w:tab w:val="left" w:pos="312"/>
        </w:tabs>
      </w:pPr>
    </w:lvl>
  </w:abstractNum>
  <w:abstractNum w:abstractNumId="6">
    <w:nsid w:val="D4E5472F"/>
    <w:multiLevelType w:val="singleLevel"/>
    <w:tmpl w:val="D4E5472F"/>
    <w:lvl w:ilvl="0" w:tentative="0">
      <w:start w:val="1"/>
      <w:numFmt w:val="decimal"/>
      <w:suff w:val="nothing"/>
      <w:lvlText w:val="%1．"/>
      <w:lvlJc w:val="left"/>
      <w:pPr>
        <w:ind w:left="0" w:firstLine="284"/>
      </w:pPr>
      <w:rPr>
        <w:rFonts w:hint="default"/>
      </w:rPr>
    </w:lvl>
  </w:abstractNum>
  <w:abstractNum w:abstractNumId="7">
    <w:nsid w:val="D862B520"/>
    <w:multiLevelType w:val="singleLevel"/>
    <w:tmpl w:val="D862B520"/>
    <w:lvl w:ilvl="0" w:tentative="0">
      <w:start w:val="1"/>
      <w:numFmt w:val="decimal"/>
      <w:suff w:val="nothing"/>
      <w:lvlText w:val="%1．"/>
      <w:lvlJc w:val="left"/>
      <w:pPr>
        <w:ind w:left="0" w:firstLine="284"/>
      </w:pPr>
      <w:rPr>
        <w:rFonts w:hint="default"/>
      </w:rPr>
    </w:lvl>
  </w:abstractNum>
  <w:abstractNum w:abstractNumId="8">
    <w:nsid w:val="DB8DE348"/>
    <w:multiLevelType w:val="singleLevel"/>
    <w:tmpl w:val="DB8DE348"/>
    <w:lvl w:ilvl="0" w:tentative="0">
      <w:start w:val="1"/>
      <w:numFmt w:val="decimal"/>
      <w:suff w:val="nothing"/>
      <w:lvlText w:val="%1．"/>
      <w:lvlJc w:val="left"/>
      <w:pPr>
        <w:ind w:left="0" w:firstLine="283"/>
      </w:pPr>
      <w:rPr>
        <w:rFonts w:hint="default"/>
      </w:rPr>
    </w:lvl>
  </w:abstractNum>
  <w:abstractNum w:abstractNumId="9">
    <w:nsid w:val="E598FBF1"/>
    <w:multiLevelType w:val="singleLevel"/>
    <w:tmpl w:val="E598FBF1"/>
    <w:lvl w:ilvl="0" w:tentative="0">
      <w:start w:val="1"/>
      <w:numFmt w:val="decimal"/>
      <w:suff w:val="nothing"/>
      <w:lvlText w:val="%1、"/>
      <w:lvlJc w:val="left"/>
    </w:lvl>
  </w:abstractNum>
  <w:abstractNum w:abstractNumId="10">
    <w:nsid w:val="EEEB1650"/>
    <w:multiLevelType w:val="singleLevel"/>
    <w:tmpl w:val="EEEB1650"/>
    <w:lvl w:ilvl="0" w:tentative="0">
      <w:start w:val="1"/>
      <w:numFmt w:val="decimal"/>
      <w:lvlText w:val="%1."/>
      <w:lvlJc w:val="left"/>
      <w:pPr>
        <w:tabs>
          <w:tab w:val="left" w:pos="312"/>
        </w:tabs>
      </w:pPr>
    </w:lvl>
  </w:abstractNum>
  <w:abstractNum w:abstractNumId="11">
    <w:nsid w:val="EF838974"/>
    <w:multiLevelType w:val="singleLevel"/>
    <w:tmpl w:val="EF838974"/>
    <w:lvl w:ilvl="0" w:tentative="0">
      <w:start w:val="1"/>
      <w:numFmt w:val="decimal"/>
      <w:suff w:val="nothing"/>
      <w:lvlText w:val="%1．"/>
      <w:lvlJc w:val="left"/>
      <w:pPr>
        <w:ind w:left="0" w:firstLine="284"/>
      </w:pPr>
      <w:rPr>
        <w:rFonts w:hint="default"/>
      </w:rPr>
    </w:lvl>
  </w:abstractNum>
  <w:abstractNum w:abstractNumId="12">
    <w:nsid w:val="00000010"/>
    <w:multiLevelType w:val="multilevel"/>
    <w:tmpl w:val="00000010"/>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810"/>
        </w:tabs>
        <w:ind w:left="810" w:hanging="390"/>
      </w:pPr>
      <w:rPr>
        <w:rFonts w:hint="eastAsia"/>
      </w:rPr>
    </w:lvl>
    <w:lvl w:ilvl="2" w:tentative="0">
      <w:start w:val="1"/>
      <w:numFmt w:val="decimal"/>
      <w:lvlText w:val="%3."/>
      <w:lvlJc w:val="left"/>
      <w:pPr>
        <w:tabs>
          <w:tab w:val="left" w:pos="757"/>
        </w:tabs>
        <w:ind w:left="0" w:firstLine="397"/>
      </w:pPr>
      <w:rPr>
        <w:rFonts w:hint="eastAsia"/>
      </w:rPr>
    </w:lvl>
    <w:lvl w:ilvl="3" w:tentative="0">
      <w:start w:val="1"/>
      <w:numFmt w:val="decimal"/>
      <w:lvlText w:val="（%4）"/>
      <w:lvlJc w:val="left"/>
      <w:pPr>
        <w:tabs>
          <w:tab w:val="left" w:pos="1980"/>
        </w:tabs>
        <w:ind w:left="1980" w:hanging="7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8760088"/>
    <w:multiLevelType w:val="singleLevel"/>
    <w:tmpl w:val="08760088"/>
    <w:lvl w:ilvl="0" w:tentative="0">
      <w:start w:val="3"/>
      <w:numFmt w:val="upperLetter"/>
      <w:suff w:val="nothing"/>
      <w:lvlText w:val="%1、"/>
      <w:lvlJc w:val="left"/>
    </w:lvl>
  </w:abstractNum>
  <w:abstractNum w:abstractNumId="14">
    <w:nsid w:val="08C3C16C"/>
    <w:multiLevelType w:val="singleLevel"/>
    <w:tmpl w:val="08C3C16C"/>
    <w:lvl w:ilvl="0" w:tentative="0">
      <w:start w:val="1"/>
      <w:numFmt w:val="decimal"/>
      <w:suff w:val="nothing"/>
      <w:lvlText w:val="%1．"/>
      <w:lvlJc w:val="left"/>
      <w:pPr>
        <w:ind w:left="0" w:firstLine="283"/>
      </w:pPr>
      <w:rPr>
        <w:rFonts w:hint="default"/>
      </w:rPr>
    </w:lvl>
  </w:abstractNum>
  <w:abstractNum w:abstractNumId="15">
    <w:nsid w:val="1A4C3346"/>
    <w:multiLevelType w:val="singleLevel"/>
    <w:tmpl w:val="1A4C3346"/>
    <w:lvl w:ilvl="0" w:tentative="0">
      <w:start w:val="1"/>
      <w:numFmt w:val="decimal"/>
      <w:suff w:val="nothing"/>
      <w:lvlText w:val="%1．"/>
      <w:lvlJc w:val="left"/>
      <w:pPr>
        <w:ind w:left="0" w:firstLine="283"/>
      </w:pPr>
      <w:rPr>
        <w:rFonts w:hint="default"/>
      </w:rPr>
    </w:lvl>
  </w:abstractNum>
  <w:abstractNum w:abstractNumId="16">
    <w:nsid w:val="1AC04125"/>
    <w:multiLevelType w:val="singleLevel"/>
    <w:tmpl w:val="1AC04125"/>
    <w:lvl w:ilvl="0" w:tentative="0">
      <w:start w:val="1"/>
      <w:numFmt w:val="decimal"/>
      <w:suff w:val="nothing"/>
      <w:lvlText w:val="%1．"/>
      <w:lvlJc w:val="left"/>
      <w:pPr>
        <w:ind w:left="0" w:firstLine="284"/>
      </w:pPr>
      <w:rPr>
        <w:rFonts w:hint="default"/>
      </w:rPr>
    </w:lvl>
  </w:abstractNum>
  <w:abstractNum w:abstractNumId="17">
    <w:nsid w:val="240B02E7"/>
    <w:multiLevelType w:val="multilevel"/>
    <w:tmpl w:val="240B02E7"/>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
    <w:nsid w:val="359BFD4B"/>
    <w:multiLevelType w:val="singleLevel"/>
    <w:tmpl w:val="359BFD4B"/>
    <w:lvl w:ilvl="0" w:tentative="0">
      <w:start w:val="1"/>
      <w:numFmt w:val="decimal"/>
      <w:suff w:val="nothing"/>
      <w:lvlText w:val="%1．"/>
      <w:lvlJc w:val="left"/>
      <w:pPr>
        <w:ind w:left="0" w:firstLine="283"/>
      </w:pPr>
      <w:rPr>
        <w:rFonts w:hint="default"/>
      </w:rPr>
    </w:lvl>
  </w:abstractNum>
  <w:abstractNum w:abstractNumId="19">
    <w:nsid w:val="35B5B5C9"/>
    <w:multiLevelType w:val="singleLevel"/>
    <w:tmpl w:val="35B5B5C9"/>
    <w:lvl w:ilvl="0" w:tentative="0">
      <w:start w:val="1"/>
      <w:numFmt w:val="decimal"/>
      <w:lvlText w:val="%1."/>
      <w:lvlJc w:val="left"/>
      <w:pPr>
        <w:tabs>
          <w:tab w:val="left" w:pos="312"/>
        </w:tabs>
      </w:pPr>
    </w:lvl>
  </w:abstractNum>
  <w:abstractNum w:abstractNumId="20">
    <w:nsid w:val="39A4C71B"/>
    <w:multiLevelType w:val="singleLevel"/>
    <w:tmpl w:val="39A4C71B"/>
    <w:lvl w:ilvl="0" w:tentative="0">
      <w:start w:val="2"/>
      <w:numFmt w:val="decimal"/>
      <w:suff w:val="nothing"/>
      <w:lvlText w:val="（%1）"/>
      <w:lvlJc w:val="left"/>
    </w:lvl>
  </w:abstractNum>
  <w:abstractNum w:abstractNumId="21">
    <w:nsid w:val="3CBB2E1A"/>
    <w:multiLevelType w:val="singleLevel"/>
    <w:tmpl w:val="3CBB2E1A"/>
    <w:lvl w:ilvl="0" w:tentative="0">
      <w:start w:val="1"/>
      <w:numFmt w:val="decimal"/>
      <w:suff w:val="nothing"/>
      <w:lvlText w:val="（%1）"/>
      <w:lvlJc w:val="left"/>
    </w:lvl>
  </w:abstractNum>
  <w:abstractNum w:abstractNumId="22">
    <w:nsid w:val="4C80599D"/>
    <w:multiLevelType w:val="singleLevel"/>
    <w:tmpl w:val="4C80599D"/>
    <w:lvl w:ilvl="0" w:tentative="0">
      <w:start w:val="1"/>
      <w:numFmt w:val="decimal"/>
      <w:suff w:val="nothing"/>
      <w:lvlText w:val="%1．"/>
      <w:lvlJc w:val="left"/>
      <w:pPr>
        <w:ind w:left="0" w:firstLine="284"/>
      </w:pPr>
      <w:rPr>
        <w:rFonts w:hint="default"/>
      </w:rPr>
    </w:lvl>
  </w:abstractNum>
  <w:abstractNum w:abstractNumId="23">
    <w:nsid w:val="4CF90FD5"/>
    <w:multiLevelType w:val="singleLevel"/>
    <w:tmpl w:val="4CF90FD5"/>
    <w:lvl w:ilvl="0" w:tentative="0">
      <w:start w:val="1"/>
      <w:numFmt w:val="chineseCounting"/>
      <w:suff w:val="nothing"/>
      <w:lvlText w:val="（%1）"/>
      <w:lvlJc w:val="left"/>
      <w:rPr>
        <w:rFonts w:hint="eastAsia"/>
      </w:rPr>
    </w:lvl>
  </w:abstractNum>
  <w:abstractNum w:abstractNumId="24">
    <w:nsid w:val="4E2A6596"/>
    <w:multiLevelType w:val="multilevel"/>
    <w:tmpl w:val="4E2A6596"/>
    <w:lvl w:ilvl="0" w:tentative="0">
      <w:start w:val="1"/>
      <w:numFmt w:val="decimal"/>
      <w:lvlText w:val="（%1）"/>
      <w:lvlJc w:val="left"/>
      <w:pPr>
        <w:ind w:left="1245" w:hanging="720"/>
      </w:pPr>
      <w:rPr>
        <w:rFonts w:hint="default"/>
        <w:b/>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5">
    <w:nsid w:val="52944073"/>
    <w:multiLevelType w:val="singleLevel"/>
    <w:tmpl w:val="52944073"/>
    <w:lvl w:ilvl="0" w:tentative="0">
      <w:start w:val="1"/>
      <w:numFmt w:val="decimal"/>
      <w:suff w:val="nothing"/>
      <w:lvlText w:val="%1．"/>
      <w:lvlJc w:val="left"/>
      <w:pPr>
        <w:ind w:left="0" w:firstLine="284"/>
      </w:pPr>
      <w:rPr>
        <w:rFonts w:hint="default"/>
      </w:rPr>
    </w:lvl>
  </w:abstractNum>
  <w:abstractNum w:abstractNumId="26">
    <w:nsid w:val="6440D9AD"/>
    <w:multiLevelType w:val="multilevel"/>
    <w:tmpl w:val="6440D9AD"/>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1.%2.%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27">
    <w:nsid w:val="6440D9B8"/>
    <w:multiLevelType w:val="multilevel"/>
    <w:tmpl w:val="6440D9B8"/>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1.2.%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28">
    <w:nsid w:val="6440D9C3"/>
    <w:multiLevelType w:val="multilevel"/>
    <w:tmpl w:val="6440D9C3"/>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1.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29">
    <w:nsid w:val="6440D9CE"/>
    <w:multiLevelType w:val="multilevel"/>
    <w:tmpl w:val="6440D9CE"/>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1.4.%3 "/>
      <w:lvlJc w:val="left"/>
      <w:pPr>
        <w:ind w:left="993"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30">
    <w:nsid w:val="6440D9D9"/>
    <w:multiLevelType w:val="multilevel"/>
    <w:tmpl w:val="6440D9D9"/>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31">
    <w:nsid w:val="6440D9E4"/>
    <w:multiLevelType w:val="multilevel"/>
    <w:tmpl w:val="6440D9E4"/>
    <w:lvl w:ilvl="0" w:tentative="0">
      <w:start w:val="1"/>
      <w:numFmt w:val="decimal"/>
      <w:suff w:val="nothing"/>
      <w:lvlText w:val="（%1）"/>
      <w:lvlJc w:val="left"/>
      <w:pPr>
        <w:ind w:left="1712" w:hanging="720"/>
      </w:pPr>
      <w:rPr>
        <w:rFonts w:hint="default" w:ascii="Times New Roman" w:hAnsi="Times New Roman" w:cs="Times New Roman"/>
      </w:rPr>
    </w:lvl>
    <w:lvl w:ilvl="1" w:tentative="0">
      <w:start w:val="1"/>
      <w:numFmt w:val="lowerLetter"/>
      <w:lvlText w:val="%2)"/>
      <w:lvlJc w:val="left"/>
      <w:pPr>
        <w:ind w:left="1320" w:hanging="420"/>
      </w:pPr>
      <w:rPr>
        <w:rFonts w:hint="eastAsia" w:ascii="宋体" w:hAnsi="宋体" w:eastAsia="宋体"/>
      </w:rPr>
    </w:lvl>
    <w:lvl w:ilvl="2" w:tentative="0">
      <w:start w:val="1"/>
      <w:numFmt w:val="lowerRoman"/>
      <w:lvlText w:val="%3."/>
      <w:lvlJc w:val="right"/>
      <w:pPr>
        <w:ind w:left="1740" w:hanging="420"/>
      </w:pPr>
      <w:rPr>
        <w:rFonts w:hint="eastAsia" w:ascii="宋体" w:hAnsi="宋体" w:eastAsia="宋体"/>
      </w:rPr>
    </w:lvl>
    <w:lvl w:ilvl="3" w:tentative="0">
      <w:start w:val="1"/>
      <w:numFmt w:val="decimal"/>
      <w:lvlText w:val="%4."/>
      <w:lvlJc w:val="left"/>
      <w:pPr>
        <w:ind w:left="2160" w:hanging="420"/>
      </w:pPr>
      <w:rPr>
        <w:rFonts w:hint="eastAsia" w:ascii="宋体" w:hAnsi="宋体" w:eastAsia="宋体"/>
      </w:rPr>
    </w:lvl>
    <w:lvl w:ilvl="4" w:tentative="0">
      <w:start w:val="1"/>
      <w:numFmt w:val="lowerLetter"/>
      <w:lvlText w:val="%5)"/>
      <w:lvlJc w:val="left"/>
      <w:pPr>
        <w:ind w:left="2580" w:hanging="420"/>
      </w:pPr>
      <w:rPr>
        <w:rFonts w:hint="eastAsia" w:ascii="宋体" w:hAnsi="宋体" w:eastAsia="宋体"/>
      </w:rPr>
    </w:lvl>
    <w:lvl w:ilvl="5" w:tentative="0">
      <w:start w:val="1"/>
      <w:numFmt w:val="lowerRoman"/>
      <w:lvlText w:val="%6."/>
      <w:lvlJc w:val="right"/>
      <w:pPr>
        <w:ind w:left="3000" w:hanging="420"/>
      </w:pPr>
      <w:rPr>
        <w:rFonts w:hint="eastAsia" w:ascii="宋体" w:hAnsi="宋体" w:eastAsia="宋体"/>
      </w:rPr>
    </w:lvl>
    <w:lvl w:ilvl="6" w:tentative="0">
      <w:start w:val="1"/>
      <w:numFmt w:val="decimal"/>
      <w:lvlText w:val="%7."/>
      <w:lvlJc w:val="left"/>
      <w:pPr>
        <w:ind w:left="3420" w:hanging="420"/>
      </w:pPr>
      <w:rPr>
        <w:rFonts w:hint="eastAsia" w:ascii="宋体" w:hAnsi="宋体" w:eastAsia="宋体"/>
      </w:rPr>
    </w:lvl>
    <w:lvl w:ilvl="7" w:tentative="0">
      <w:start w:val="1"/>
      <w:numFmt w:val="lowerLetter"/>
      <w:lvlText w:val="%8)"/>
      <w:lvlJc w:val="left"/>
      <w:pPr>
        <w:ind w:left="3840" w:hanging="420"/>
      </w:pPr>
      <w:rPr>
        <w:rFonts w:hint="eastAsia" w:ascii="宋体" w:hAnsi="宋体" w:eastAsia="宋体"/>
      </w:rPr>
    </w:lvl>
    <w:lvl w:ilvl="8" w:tentative="0">
      <w:start w:val="1"/>
      <w:numFmt w:val="lowerRoman"/>
      <w:lvlText w:val="%9."/>
      <w:lvlJc w:val="right"/>
      <w:pPr>
        <w:ind w:left="4260" w:hanging="420"/>
      </w:pPr>
      <w:rPr>
        <w:rFonts w:hint="eastAsia" w:ascii="宋体" w:hAnsi="宋体" w:eastAsia="宋体"/>
      </w:rPr>
    </w:lvl>
  </w:abstractNum>
  <w:abstractNum w:abstractNumId="32">
    <w:nsid w:val="6440D9EF"/>
    <w:multiLevelType w:val="multilevel"/>
    <w:tmpl w:val="6440D9EF"/>
    <w:lvl w:ilvl="0" w:tentative="0">
      <w:start w:val="1"/>
      <w:numFmt w:val="decimal"/>
      <w:suff w:val="nothing"/>
      <w:lvlText w:val="（%1）"/>
      <w:lvlJc w:val="left"/>
      <w:pPr>
        <w:ind w:left="900" w:hanging="420"/>
      </w:pPr>
      <w:rPr>
        <w:rFonts w:hint="eastAsia" w:ascii="宋体" w:hAnsi="宋体" w:eastAsia="宋体"/>
      </w:rPr>
    </w:lvl>
    <w:lvl w:ilvl="1" w:tentative="0">
      <w:start w:val="1"/>
      <w:numFmt w:val="lowerLetter"/>
      <w:lvlText w:val="%2)"/>
      <w:lvlJc w:val="left"/>
      <w:pPr>
        <w:ind w:left="1320" w:hanging="420"/>
      </w:pPr>
      <w:rPr>
        <w:rFonts w:hint="eastAsia" w:ascii="宋体" w:hAnsi="宋体" w:eastAsia="宋体"/>
      </w:rPr>
    </w:lvl>
    <w:lvl w:ilvl="2" w:tentative="0">
      <w:start w:val="1"/>
      <w:numFmt w:val="lowerRoman"/>
      <w:lvlText w:val="%3."/>
      <w:lvlJc w:val="right"/>
      <w:pPr>
        <w:ind w:left="1740" w:hanging="420"/>
      </w:pPr>
      <w:rPr>
        <w:rFonts w:hint="eastAsia" w:ascii="宋体" w:hAnsi="宋体" w:eastAsia="宋体"/>
      </w:rPr>
    </w:lvl>
    <w:lvl w:ilvl="3" w:tentative="0">
      <w:start w:val="1"/>
      <w:numFmt w:val="decimal"/>
      <w:lvlText w:val="%4."/>
      <w:lvlJc w:val="left"/>
      <w:pPr>
        <w:ind w:left="2160" w:hanging="420"/>
      </w:pPr>
      <w:rPr>
        <w:rFonts w:hint="eastAsia" w:ascii="宋体" w:hAnsi="宋体" w:eastAsia="宋体"/>
      </w:rPr>
    </w:lvl>
    <w:lvl w:ilvl="4" w:tentative="0">
      <w:start w:val="1"/>
      <w:numFmt w:val="lowerLetter"/>
      <w:lvlText w:val="%5)"/>
      <w:lvlJc w:val="left"/>
      <w:pPr>
        <w:ind w:left="2580" w:hanging="420"/>
      </w:pPr>
      <w:rPr>
        <w:rFonts w:hint="eastAsia" w:ascii="宋体" w:hAnsi="宋体" w:eastAsia="宋体"/>
      </w:rPr>
    </w:lvl>
    <w:lvl w:ilvl="5" w:tentative="0">
      <w:start w:val="1"/>
      <w:numFmt w:val="lowerRoman"/>
      <w:lvlText w:val="%6."/>
      <w:lvlJc w:val="right"/>
      <w:pPr>
        <w:ind w:left="3000" w:hanging="420"/>
      </w:pPr>
      <w:rPr>
        <w:rFonts w:hint="eastAsia" w:ascii="宋体" w:hAnsi="宋体" w:eastAsia="宋体"/>
      </w:rPr>
    </w:lvl>
    <w:lvl w:ilvl="6" w:tentative="0">
      <w:start w:val="1"/>
      <w:numFmt w:val="decimal"/>
      <w:lvlText w:val="%7."/>
      <w:lvlJc w:val="left"/>
      <w:pPr>
        <w:ind w:left="3420" w:hanging="420"/>
      </w:pPr>
      <w:rPr>
        <w:rFonts w:hint="eastAsia" w:ascii="宋体" w:hAnsi="宋体" w:eastAsia="宋体"/>
      </w:rPr>
    </w:lvl>
    <w:lvl w:ilvl="7" w:tentative="0">
      <w:start w:val="1"/>
      <w:numFmt w:val="lowerLetter"/>
      <w:lvlText w:val="%8)"/>
      <w:lvlJc w:val="left"/>
      <w:pPr>
        <w:ind w:left="3840" w:hanging="420"/>
      </w:pPr>
      <w:rPr>
        <w:rFonts w:hint="eastAsia" w:ascii="宋体" w:hAnsi="宋体" w:eastAsia="宋体"/>
      </w:rPr>
    </w:lvl>
    <w:lvl w:ilvl="8" w:tentative="0">
      <w:start w:val="1"/>
      <w:numFmt w:val="lowerRoman"/>
      <w:lvlText w:val="%9."/>
      <w:lvlJc w:val="right"/>
      <w:pPr>
        <w:ind w:left="4260" w:hanging="420"/>
      </w:pPr>
      <w:rPr>
        <w:rFonts w:hint="eastAsia" w:ascii="宋体" w:hAnsi="宋体" w:eastAsia="宋体"/>
      </w:rPr>
    </w:lvl>
  </w:abstractNum>
  <w:abstractNum w:abstractNumId="33">
    <w:nsid w:val="6440D9FA"/>
    <w:multiLevelType w:val="multilevel"/>
    <w:tmpl w:val="6440D9FA"/>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1.9.%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34">
    <w:nsid w:val="6440DA05"/>
    <w:multiLevelType w:val="multilevel"/>
    <w:tmpl w:val="6440DA05"/>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1.10.%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35">
    <w:nsid w:val="6440DA10"/>
    <w:multiLevelType w:val="multilevel"/>
    <w:tmpl w:val="6440DA10"/>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1.12.%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36">
    <w:nsid w:val="6440DA1B"/>
    <w:multiLevelType w:val="multilevel"/>
    <w:tmpl w:val="6440DA1B"/>
    <w:lvl w:ilvl="0" w:tentative="0">
      <w:start w:val="1"/>
      <w:numFmt w:val="decimal"/>
      <w:suff w:val="nothing"/>
      <w:lvlText w:val="（%1）"/>
      <w:lvlJc w:val="left"/>
      <w:pPr>
        <w:ind w:left="1156" w:hanging="420"/>
      </w:pPr>
      <w:rPr>
        <w:rFonts w:hint="eastAsia" w:ascii="宋体" w:hAnsi="宋体" w:eastAsia="宋体"/>
      </w:rPr>
    </w:lvl>
    <w:lvl w:ilvl="1" w:tentative="0">
      <w:start w:val="1"/>
      <w:numFmt w:val="lowerLetter"/>
      <w:lvlText w:val="%2)"/>
      <w:lvlJc w:val="left"/>
      <w:pPr>
        <w:ind w:left="1304" w:hanging="420"/>
      </w:pPr>
      <w:rPr>
        <w:rFonts w:hint="eastAsia" w:ascii="宋体" w:hAnsi="宋体" w:eastAsia="宋体"/>
      </w:rPr>
    </w:lvl>
    <w:lvl w:ilvl="2" w:tentative="0">
      <w:start w:val="1"/>
      <w:numFmt w:val="lowerRoman"/>
      <w:lvlText w:val="%3."/>
      <w:lvlJc w:val="right"/>
      <w:pPr>
        <w:ind w:left="1724" w:hanging="420"/>
      </w:pPr>
      <w:rPr>
        <w:rFonts w:hint="eastAsia" w:ascii="宋体" w:hAnsi="宋体" w:eastAsia="宋体"/>
      </w:rPr>
    </w:lvl>
    <w:lvl w:ilvl="3" w:tentative="0">
      <w:start w:val="1"/>
      <w:numFmt w:val="decimal"/>
      <w:lvlText w:val="%4."/>
      <w:lvlJc w:val="left"/>
      <w:pPr>
        <w:ind w:left="2144" w:hanging="420"/>
      </w:pPr>
      <w:rPr>
        <w:rFonts w:hint="eastAsia" w:ascii="宋体" w:hAnsi="宋体" w:eastAsia="宋体"/>
      </w:rPr>
    </w:lvl>
    <w:lvl w:ilvl="4" w:tentative="0">
      <w:start w:val="1"/>
      <w:numFmt w:val="lowerLetter"/>
      <w:lvlText w:val="%5)"/>
      <w:lvlJc w:val="left"/>
      <w:pPr>
        <w:ind w:left="2564" w:hanging="420"/>
      </w:pPr>
      <w:rPr>
        <w:rFonts w:hint="eastAsia" w:ascii="宋体" w:hAnsi="宋体" w:eastAsia="宋体"/>
      </w:rPr>
    </w:lvl>
    <w:lvl w:ilvl="5" w:tentative="0">
      <w:start w:val="1"/>
      <w:numFmt w:val="lowerRoman"/>
      <w:lvlText w:val="%6."/>
      <w:lvlJc w:val="right"/>
      <w:pPr>
        <w:ind w:left="2984" w:hanging="420"/>
      </w:pPr>
      <w:rPr>
        <w:rFonts w:hint="eastAsia" w:ascii="宋体" w:hAnsi="宋体" w:eastAsia="宋体"/>
      </w:rPr>
    </w:lvl>
    <w:lvl w:ilvl="6" w:tentative="0">
      <w:start w:val="1"/>
      <w:numFmt w:val="decimal"/>
      <w:lvlText w:val="%7."/>
      <w:lvlJc w:val="left"/>
      <w:pPr>
        <w:ind w:left="3404" w:hanging="420"/>
      </w:pPr>
      <w:rPr>
        <w:rFonts w:hint="eastAsia" w:ascii="宋体" w:hAnsi="宋体" w:eastAsia="宋体"/>
      </w:rPr>
    </w:lvl>
    <w:lvl w:ilvl="7" w:tentative="0">
      <w:start w:val="1"/>
      <w:numFmt w:val="lowerLetter"/>
      <w:lvlText w:val="%8)"/>
      <w:lvlJc w:val="left"/>
      <w:pPr>
        <w:ind w:left="3824" w:hanging="420"/>
      </w:pPr>
      <w:rPr>
        <w:rFonts w:hint="eastAsia" w:ascii="宋体" w:hAnsi="宋体" w:eastAsia="宋体"/>
      </w:rPr>
    </w:lvl>
    <w:lvl w:ilvl="8" w:tentative="0">
      <w:start w:val="1"/>
      <w:numFmt w:val="lowerRoman"/>
      <w:lvlText w:val="%9."/>
      <w:lvlJc w:val="right"/>
      <w:pPr>
        <w:ind w:left="4244" w:hanging="420"/>
      </w:pPr>
      <w:rPr>
        <w:rFonts w:hint="eastAsia" w:ascii="宋体" w:hAnsi="宋体" w:eastAsia="宋体"/>
      </w:rPr>
    </w:lvl>
  </w:abstractNum>
  <w:abstractNum w:abstractNumId="37">
    <w:nsid w:val="6440DA26"/>
    <w:multiLevelType w:val="multilevel"/>
    <w:tmpl w:val="6440DA26"/>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2.2.%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38">
    <w:nsid w:val="6440DA31"/>
    <w:multiLevelType w:val="multilevel"/>
    <w:tmpl w:val="6440DA31"/>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2.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39">
    <w:nsid w:val="6440DA3C"/>
    <w:multiLevelType w:val="multilevel"/>
    <w:tmpl w:val="6440DA3C"/>
    <w:lvl w:ilvl="0" w:tentative="0">
      <w:start w:val="1"/>
      <w:numFmt w:val="chineseCounting"/>
      <w:suff w:val="nothing"/>
      <w:lvlText w:val="（%1）"/>
      <w:lvlJc w:val="left"/>
      <w:pPr>
        <w:ind w:left="567" w:firstLine="0"/>
      </w:pPr>
      <w:rPr>
        <w:rFonts w:hint="eastAsia" w:ascii="宋体" w:hAnsi="宋体" w:eastAsia="宋体"/>
      </w:rPr>
    </w:lvl>
    <w:lvl w:ilvl="1" w:tentative="0">
      <w:start w:val="1"/>
      <w:numFmt w:val="decimal"/>
      <w:lvlText w:val="%2."/>
      <w:lvlJc w:val="left"/>
      <w:pPr>
        <w:tabs>
          <w:tab w:val="left" w:pos="2007"/>
        </w:tabs>
        <w:ind w:left="2007" w:hanging="360"/>
      </w:pPr>
    </w:lvl>
    <w:lvl w:ilvl="2" w:tentative="0">
      <w:start w:val="1"/>
      <w:numFmt w:val="decimal"/>
      <w:lvlText w:val="%3."/>
      <w:lvlJc w:val="left"/>
      <w:pPr>
        <w:tabs>
          <w:tab w:val="left" w:pos="2727"/>
        </w:tabs>
        <w:ind w:left="2727" w:hanging="360"/>
      </w:pPr>
    </w:lvl>
    <w:lvl w:ilvl="3" w:tentative="0">
      <w:start w:val="1"/>
      <w:numFmt w:val="decimal"/>
      <w:lvlText w:val="%4."/>
      <w:lvlJc w:val="left"/>
      <w:pPr>
        <w:tabs>
          <w:tab w:val="left" w:pos="3447"/>
        </w:tabs>
        <w:ind w:left="3447" w:hanging="360"/>
      </w:pPr>
    </w:lvl>
    <w:lvl w:ilvl="4" w:tentative="0">
      <w:start w:val="1"/>
      <w:numFmt w:val="decimal"/>
      <w:lvlText w:val="%5."/>
      <w:lvlJc w:val="left"/>
      <w:pPr>
        <w:tabs>
          <w:tab w:val="left" w:pos="4167"/>
        </w:tabs>
        <w:ind w:left="4167" w:hanging="360"/>
      </w:pPr>
    </w:lvl>
    <w:lvl w:ilvl="5" w:tentative="0">
      <w:start w:val="1"/>
      <w:numFmt w:val="decimal"/>
      <w:lvlText w:val="%6."/>
      <w:lvlJc w:val="left"/>
      <w:pPr>
        <w:tabs>
          <w:tab w:val="left" w:pos="4887"/>
        </w:tabs>
        <w:ind w:left="4887" w:hanging="360"/>
      </w:pPr>
    </w:lvl>
    <w:lvl w:ilvl="6" w:tentative="0">
      <w:start w:val="1"/>
      <w:numFmt w:val="decimal"/>
      <w:lvlText w:val="%7."/>
      <w:lvlJc w:val="left"/>
      <w:pPr>
        <w:tabs>
          <w:tab w:val="left" w:pos="5607"/>
        </w:tabs>
        <w:ind w:left="5607" w:hanging="360"/>
      </w:pPr>
    </w:lvl>
    <w:lvl w:ilvl="7" w:tentative="0">
      <w:start w:val="1"/>
      <w:numFmt w:val="decimal"/>
      <w:lvlText w:val="%8."/>
      <w:lvlJc w:val="left"/>
      <w:pPr>
        <w:tabs>
          <w:tab w:val="left" w:pos="6327"/>
        </w:tabs>
        <w:ind w:left="6327" w:hanging="360"/>
      </w:pPr>
    </w:lvl>
    <w:lvl w:ilvl="8" w:tentative="0">
      <w:start w:val="1"/>
      <w:numFmt w:val="decimal"/>
      <w:lvlText w:val="%9."/>
      <w:lvlJc w:val="left"/>
      <w:pPr>
        <w:tabs>
          <w:tab w:val="left" w:pos="7047"/>
        </w:tabs>
        <w:ind w:left="7047" w:hanging="360"/>
      </w:pPr>
    </w:lvl>
  </w:abstractNum>
  <w:abstractNum w:abstractNumId="40">
    <w:nsid w:val="6440DA47"/>
    <w:multiLevelType w:val="multilevel"/>
    <w:tmpl w:val="6440DA47"/>
    <w:lvl w:ilvl="0" w:tentative="0">
      <w:start w:val="1"/>
      <w:numFmt w:val="decimal"/>
      <w:suff w:val="nothing"/>
      <w:lvlText w:val="（%1）"/>
      <w:lvlJc w:val="left"/>
      <w:pPr>
        <w:ind w:left="900" w:hanging="420"/>
      </w:pPr>
      <w:rPr>
        <w:rFonts w:hint="eastAsia" w:ascii="宋体" w:hAnsi="宋体" w:eastAsia="宋体"/>
      </w:rPr>
    </w:lvl>
    <w:lvl w:ilvl="1" w:tentative="0">
      <w:start w:val="1"/>
      <w:numFmt w:val="lowerLetter"/>
      <w:lvlText w:val="%2)"/>
      <w:lvlJc w:val="left"/>
      <w:pPr>
        <w:ind w:left="1320" w:hanging="420"/>
      </w:pPr>
      <w:rPr>
        <w:rFonts w:hint="eastAsia" w:ascii="宋体" w:hAnsi="宋体" w:eastAsia="宋体"/>
      </w:rPr>
    </w:lvl>
    <w:lvl w:ilvl="2" w:tentative="0">
      <w:start w:val="1"/>
      <w:numFmt w:val="lowerRoman"/>
      <w:lvlText w:val="%3."/>
      <w:lvlJc w:val="right"/>
      <w:pPr>
        <w:ind w:left="1740" w:hanging="420"/>
      </w:pPr>
      <w:rPr>
        <w:rFonts w:hint="eastAsia" w:ascii="宋体" w:hAnsi="宋体" w:eastAsia="宋体"/>
      </w:rPr>
    </w:lvl>
    <w:lvl w:ilvl="3" w:tentative="0">
      <w:start w:val="1"/>
      <w:numFmt w:val="decimal"/>
      <w:lvlText w:val="%4."/>
      <w:lvlJc w:val="left"/>
      <w:pPr>
        <w:ind w:left="2160" w:hanging="420"/>
      </w:pPr>
      <w:rPr>
        <w:rFonts w:hint="eastAsia" w:ascii="宋体" w:hAnsi="宋体" w:eastAsia="宋体"/>
      </w:rPr>
    </w:lvl>
    <w:lvl w:ilvl="4" w:tentative="0">
      <w:start w:val="1"/>
      <w:numFmt w:val="lowerLetter"/>
      <w:lvlText w:val="%5)"/>
      <w:lvlJc w:val="left"/>
      <w:pPr>
        <w:ind w:left="2580" w:hanging="420"/>
      </w:pPr>
      <w:rPr>
        <w:rFonts w:hint="eastAsia" w:ascii="宋体" w:hAnsi="宋体" w:eastAsia="宋体"/>
      </w:rPr>
    </w:lvl>
    <w:lvl w:ilvl="5" w:tentative="0">
      <w:start w:val="1"/>
      <w:numFmt w:val="lowerRoman"/>
      <w:lvlText w:val="%6."/>
      <w:lvlJc w:val="right"/>
      <w:pPr>
        <w:ind w:left="3000" w:hanging="420"/>
      </w:pPr>
      <w:rPr>
        <w:rFonts w:hint="eastAsia" w:ascii="宋体" w:hAnsi="宋体" w:eastAsia="宋体"/>
      </w:rPr>
    </w:lvl>
    <w:lvl w:ilvl="6" w:tentative="0">
      <w:start w:val="1"/>
      <w:numFmt w:val="decimal"/>
      <w:lvlText w:val="%7."/>
      <w:lvlJc w:val="left"/>
      <w:pPr>
        <w:ind w:left="3420" w:hanging="420"/>
      </w:pPr>
      <w:rPr>
        <w:rFonts w:hint="eastAsia" w:ascii="宋体" w:hAnsi="宋体" w:eastAsia="宋体"/>
      </w:rPr>
    </w:lvl>
    <w:lvl w:ilvl="7" w:tentative="0">
      <w:start w:val="1"/>
      <w:numFmt w:val="lowerLetter"/>
      <w:lvlText w:val="%8)"/>
      <w:lvlJc w:val="left"/>
      <w:pPr>
        <w:ind w:left="3840" w:hanging="420"/>
      </w:pPr>
      <w:rPr>
        <w:rFonts w:hint="eastAsia" w:ascii="宋体" w:hAnsi="宋体" w:eastAsia="宋体"/>
      </w:rPr>
    </w:lvl>
    <w:lvl w:ilvl="8" w:tentative="0">
      <w:start w:val="1"/>
      <w:numFmt w:val="lowerRoman"/>
      <w:lvlText w:val="%9."/>
      <w:lvlJc w:val="right"/>
      <w:pPr>
        <w:ind w:left="4260" w:hanging="420"/>
      </w:pPr>
      <w:rPr>
        <w:rFonts w:hint="eastAsia" w:ascii="宋体" w:hAnsi="宋体" w:eastAsia="宋体"/>
      </w:rPr>
    </w:lvl>
  </w:abstractNum>
  <w:abstractNum w:abstractNumId="41">
    <w:nsid w:val="6440DA52"/>
    <w:multiLevelType w:val="multilevel"/>
    <w:tmpl w:val="6440DA52"/>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42">
    <w:nsid w:val="6440DA5D"/>
    <w:multiLevelType w:val="multilevel"/>
    <w:tmpl w:val="6440DA5D"/>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43">
    <w:nsid w:val="6440DA68"/>
    <w:multiLevelType w:val="multilevel"/>
    <w:tmpl w:val="6440DA68"/>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44">
    <w:nsid w:val="6440DA73"/>
    <w:multiLevelType w:val="multilevel"/>
    <w:tmpl w:val="6440DA73"/>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ascii="宋体" w:hAnsi="宋体" w:eastAsia="宋体"/>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45">
    <w:nsid w:val="6440DA7E"/>
    <w:multiLevelType w:val="multilevel"/>
    <w:tmpl w:val="6440DA7E"/>
    <w:lvl w:ilvl="0" w:tentative="0">
      <w:start w:val="1"/>
      <w:numFmt w:val="decimal"/>
      <w:suff w:val="nothing"/>
      <w:lvlText w:val="（%1）"/>
      <w:lvlJc w:val="left"/>
      <w:pPr>
        <w:ind w:left="660" w:hanging="420"/>
      </w:pPr>
      <w:rPr>
        <w:rFonts w:hint="eastAsia" w:ascii="宋体" w:hAnsi="宋体" w:eastAsia="宋体"/>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46">
    <w:nsid w:val="6440DA89"/>
    <w:multiLevelType w:val="multilevel"/>
    <w:tmpl w:val="6440DA89"/>
    <w:lvl w:ilvl="0" w:tentative="0">
      <w:start w:val="1"/>
      <w:numFmt w:val="decimal"/>
      <w:lvlText w:val="%1"/>
      <w:lvlJc w:val="left"/>
      <w:pPr>
        <w:ind w:left="425" w:hanging="425"/>
      </w:pPr>
      <w:rPr>
        <w:rFonts w:hint="eastAsia" w:ascii="宋体" w:hAnsi="宋体" w:eastAsia="宋体"/>
      </w:rPr>
    </w:lvl>
    <w:lvl w:ilvl="1" w:tentative="0">
      <w:start w:val="1"/>
      <w:numFmt w:val="decimal"/>
      <w:suff w:val="nothing"/>
      <w:lvlText w:val="4.%2 "/>
      <w:lvlJc w:val="left"/>
      <w:pPr>
        <w:ind w:left="992" w:hanging="567"/>
      </w:pPr>
      <w:rPr>
        <w:rFonts w:hint="eastAsia" w:ascii="宋体" w:hAnsi="宋体" w:eastAsia="宋体"/>
      </w:rPr>
    </w:lvl>
    <w:lvl w:ilvl="2" w:tentative="0">
      <w:start w:val="1"/>
      <w:numFmt w:val="decimal"/>
      <w:lvlText w:val="%1.%2.%3"/>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47">
    <w:nsid w:val="6440DA94"/>
    <w:multiLevelType w:val="multilevel"/>
    <w:tmpl w:val="6440DA94"/>
    <w:lvl w:ilvl="0" w:tentative="0">
      <w:start w:val="1"/>
      <w:numFmt w:val="decimal"/>
      <w:lvlText w:val="%1"/>
      <w:lvlJc w:val="left"/>
      <w:pPr>
        <w:ind w:left="425" w:hanging="425"/>
      </w:pPr>
      <w:rPr>
        <w:rFonts w:hint="eastAsia" w:ascii="宋体" w:hAnsi="宋体" w:eastAsia="宋体"/>
      </w:rPr>
    </w:lvl>
    <w:lvl w:ilvl="1" w:tentative="0">
      <w:start w:val="1"/>
      <w:numFmt w:val="decimal"/>
      <w:suff w:val="nothing"/>
      <w:lvlText w:val="5.%2 "/>
      <w:lvlJc w:val="left"/>
      <w:pPr>
        <w:ind w:left="992" w:hanging="567"/>
      </w:pPr>
      <w:rPr>
        <w:rFonts w:hint="eastAsia" w:ascii="宋体" w:hAnsi="宋体" w:eastAsia="宋体"/>
      </w:rPr>
    </w:lvl>
    <w:lvl w:ilvl="2" w:tentative="0">
      <w:start w:val="1"/>
      <w:numFmt w:val="decimal"/>
      <w:lvlText w:val="%1.%2.%3"/>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48">
    <w:nsid w:val="6440DA9F"/>
    <w:multiLevelType w:val="multilevel"/>
    <w:tmpl w:val="6440DA9F"/>
    <w:lvl w:ilvl="0" w:tentative="0">
      <w:start w:val="1"/>
      <w:numFmt w:val="decimal"/>
      <w:lvlText w:val="%1"/>
      <w:lvlJc w:val="left"/>
      <w:pPr>
        <w:ind w:left="425" w:hanging="425"/>
      </w:pPr>
      <w:rPr>
        <w:rFonts w:hint="eastAsia" w:ascii="宋体" w:hAnsi="宋体" w:eastAsia="宋体"/>
      </w:rPr>
    </w:lvl>
    <w:lvl w:ilvl="1" w:tentative="0">
      <w:start w:val="1"/>
      <w:numFmt w:val="decimal"/>
      <w:suff w:val="nothing"/>
      <w:lvlText w:val="6.%2 "/>
      <w:lvlJc w:val="left"/>
      <w:pPr>
        <w:ind w:left="992" w:hanging="567"/>
      </w:pPr>
      <w:rPr>
        <w:rFonts w:hint="eastAsia" w:ascii="宋体" w:hAnsi="宋体" w:eastAsia="宋体"/>
      </w:rPr>
    </w:lvl>
    <w:lvl w:ilvl="2" w:tentative="0">
      <w:start w:val="1"/>
      <w:numFmt w:val="decimal"/>
      <w:lvlText w:val="%1.%2.%3"/>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49">
    <w:nsid w:val="6440DAAA"/>
    <w:multiLevelType w:val="multilevel"/>
    <w:tmpl w:val="6440DAAA"/>
    <w:lvl w:ilvl="0" w:tentative="0">
      <w:start w:val="1"/>
      <w:numFmt w:val="decimal"/>
      <w:lvlText w:val="%1"/>
      <w:lvlJc w:val="left"/>
      <w:pPr>
        <w:ind w:left="425" w:hanging="425"/>
      </w:pPr>
      <w:rPr>
        <w:rFonts w:hint="eastAsia" w:ascii="宋体" w:hAnsi="宋体" w:eastAsia="宋体"/>
      </w:rPr>
    </w:lvl>
    <w:lvl w:ilvl="1" w:tentative="0">
      <w:start w:val="1"/>
      <w:numFmt w:val="decimal"/>
      <w:suff w:val="nothing"/>
      <w:lvlText w:val="7.%2 "/>
      <w:lvlJc w:val="left"/>
      <w:pPr>
        <w:ind w:left="992" w:hanging="567"/>
      </w:pPr>
      <w:rPr>
        <w:rFonts w:hint="eastAsia" w:ascii="宋体" w:hAnsi="宋体" w:eastAsia="宋体"/>
      </w:rPr>
    </w:lvl>
    <w:lvl w:ilvl="2" w:tentative="0">
      <w:start w:val="1"/>
      <w:numFmt w:val="decimal"/>
      <w:lvlText w:val="%1.%2.%3"/>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50">
    <w:nsid w:val="6440DAB5"/>
    <w:multiLevelType w:val="multilevel"/>
    <w:tmpl w:val="6440DAB5"/>
    <w:lvl w:ilvl="0" w:tentative="0">
      <w:start w:val="1"/>
      <w:numFmt w:val="decimal"/>
      <w:lvlText w:val="%1"/>
      <w:lvlJc w:val="left"/>
      <w:pPr>
        <w:ind w:left="425" w:hanging="425"/>
      </w:pPr>
      <w:rPr>
        <w:rFonts w:hint="eastAsia" w:ascii="宋体" w:hAnsi="宋体" w:eastAsia="宋体"/>
      </w:rPr>
    </w:lvl>
    <w:lvl w:ilvl="1" w:tentative="0">
      <w:start w:val="1"/>
      <w:numFmt w:val="decimal"/>
      <w:suff w:val="nothing"/>
      <w:lvlText w:val="8.%2 "/>
      <w:lvlJc w:val="left"/>
      <w:pPr>
        <w:ind w:left="992" w:hanging="567"/>
      </w:pPr>
      <w:rPr>
        <w:rFonts w:hint="eastAsia" w:ascii="宋体" w:hAnsi="宋体" w:eastAsia="宋体"/>
      </w:rPr>
    </w:lvl>
    <w:lvl w:ilvl="2" w:tentative="0">
      <w:start w:val="1"/>
      <w:numFmt w:val="decimal"/>
      <w:lvlText w:val="%1.%2.%3"/>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51">
    <w:nsid w:val="6440DAC0"/>
    <w:multiLevelType w:val="multilevel"/>
    <w:tmpl w:val="6440DAC0"/>
    <w:lvl w:ilvl="0" w:tentative="0">
      <w:start w:val="1"/>
      <w:numFmt w:val="decimal"/>
      <w:lvlText w:val="%1"/>
      <w:lvlJc w:val="left"/>
      <w:pPr>
        <w:ind w:left="425" w:hanging="425"/>
      </w:pPr>
      <w:rPr>
        <w:rFonts w:hint="eastAsia" w:ascii="宋体" w:hAnsi="宋体" w:eastAsia="宋体"/>
      </w:rPr>
    </w:lvl>
    <w:lvl w:ilvl="1" w:tentative="0">
      <w:start w:val="1"/>
      <w:numFmt w:val="decimal"/>
      <w:suff w:val="nothing"/>
      <w:lvlText w:val="9.%2 "/>
      <w:lvlJc w:val="left"/>
      <w:pPr>
        <w:ind w:left="992" w:hanging="567"/>
      </w:pPr>
      <w:rPr>
        <w:rFonts w:hint="eastAsia" w:ascii="宋体" w:hAnsi="宋体" w:eastAsia="宋体"/>
      </w:rPr>
    </w:lvl>
    <w:lvl w:ilvl="2" w:tentative="0">
      <w:start w:val="1"/>
      <w:numFmt w:val="decimal"/>
      <w:lvlText w:val="%1.%2.%3"/>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ascii="宋体" w:hAnsi="宋体" w:eastAsia="宋体"/>
      </w:rPr>
    </w:lvl>
    <w:lvl w:ilvl="5" w:tentative="0">
      <w:start w:val="1"/>
      <w:numFmt w:val="decimal"/>
      <w:lvlText w:val="%1.%2.%3.%4.%5.%6"/>
      <w:lvlJc w:val="left"/>
      <w:pPr>
        <w:ind w:left="3260" w:hanging="1134"/>
      </w:pPr>
      <w:rPr>
        <w:rFonts w:hint="eastAsia" w:ascii="宋体" w:hAnsi="宋体" w:eastAsia="宋体"/>
      </w:rPr>
    </w:lvl>
    <w:lvl w:ilvl="6" w:tentative="0">
      <w:start w:val="1"/>
      <w:numFmt w:val="decimal"/>
      <w:lvlText w:val="%1.%2.%3.%4.%5.%6.%7"/>
      <w:lvlJc w:val="left"/>
      <w:pPr>
        <w:ind w:left="3827" w:hanging="1276"/>
      </w:pPr>
      <w:rPr>
        <w:rFonts w:hint="eastAsia" w:ascii="宋体" w:hAnsi="宋体" w:eastAsia="宋体"/>
      </w:rPr>
    </w:lvl>
    <w:lvl w:ilvl="7" w:tentative="0">
      <w:start w:val="1"/>
      <w:numFmt w:val="decimal"/>
      <w:lvlText w:val="%1.%2.%3.%4.%5.%6.%7.%8"/>
      <w:lvlJc w:val="left"/>
      <w:pPr>
        <w:ind w:left="4394" w:hanging="1418"/>
      </w:pPr>
      <w:rPr>
        <w:rFonts w:hint="eastAsia" w:ascii="宋体" w:hAnsi="宋体" w:eastAsia="宋体"/>
      </w:rPr>
    </w:lvl>
    <w:lvl w:ilvl="8" w:tentative="0">
      <w:start w:val="1"/>
      <w:numFmt w:val="decimal"/>
      <w:lvlText w:val="%1.%2.%3.%4.%5.%6.%7.%8.%9"/>
      <w:lvlJc w:val="left"/>
      <w:pPr>
        <w:ind w:left="5102" w:hanging="1700"/>
      </w:pPr>
      <w:rPr>
        <w:rFonts w:hint="eastAsia" w:ascii="宋体" w:hAnsi="宋体" w:eastAsia="宋体"/>
      </w:rPr>
    </w:lvl>
  </w:abstractNum>
  <w:abstractNum w:abstractNumId="52">
    <w:nsid w:val="6440DACB"/>
    <w:multiLevelType w:val="multilevel"/>
    <w:tmpl w:val="6440DACB"/>
    <w:lvl w:ilvl="0" w:tentative="0">
      <w:start w:val="1"/>
      <w:numFmt w:val="chineseCountingThousand"/>
      <w:suff w:val="nothing"/>
      <w:lvlText w:val="%1、"/>
      <w:lvlJc w:val="left"/>
      <w:pPr>
        <w:ind w:left="987" w:hanging="420"/>
      </w:pPr>
      <w:rPr>
        <w:rFonts w:hint="eastAsia" w:ascii="宋体" w:hAnsi="宋体" w:eastAsia="宋体"/>
      </w:rPr>
    </w:lvl>
    <w:lvl w:ilvl="1" w:tentative="0">
      <w:start w:val="1"/>
      <w:numFmt w:val="lowerLetter"/>
      <w:lvlText w:val="%2)"/>
      <w:lvlJc w:val="left"/>
      <w:pPr>
        <w:ind w:left="1438" w:hanging="420"/>
      </w:pPr>
      <w:rPr>
        <w:rFonts w:hint="eastAsia" w:ascii="宋体" w:hAnsi="宋体" w:eastAsia="宋体"/>
      </w:rPr>
    </w:lvl>
    <w:lvl w:ilvl="2" w:tentative="0">
      <w:start w:val="1"/>
      <w:numFmt w:val="lowerRoman"/>
      <w:lvlText w:val="%3."/>
      <w:lvlJc w:val="right"/>
      <w:pPr>
        <w:ind w:left="1858" w:hanging="420"/>
      </w:pPr>
      <w:rPr>
        <w:rFonts w:hint="eastAsia" w:ascii="宋体" w:hAnsi="宋体" w:eastAsia="宋体"/>
      </w:rPr>
    </w:lvl>
    <w:lvl w:ilvl="3" w:tentative="0">
      <w:start w:val="1"/>
      <w:numFmt w:val="decimal"/>
      <w:lvlText w:val="%4."/>
      <w:lvlJc w:val="left"/>
      <w:pPr>
        <w:ind w:left="2278" w:hanging="420"/>
      </w:pPr>
      <w:rPr>
        <w:rFonts w:hint="eastAsia" w:ascii="宋体" w:hAnsi="宋体" w:eastAsia="宋体"/>
      </w:rPr>
    </w:lvl>
    <w:lvl w:ilvl="4" w:tentative="0">
      <w:start w:val="1"/>
      <w:numFmt w:val="lowerLetter"/>
      <w:lvlText w:val="%5)"/>
      <w:lvlJc w:val="left"/>
      <w:pPr>
        <w:ind w:left="2698" w:hanging="420"/>
      </w:pPr>
      <w:rPr>
        <w:rFonts w:hint="eastAsia" w:ascii="宋体" w:hAnsi="宋体" w:eastAsia="宋体"/>
      </w:rPr>
    </w:lvl>
    <w:lvl w:ilvl="5" w:tentative="0">
      <w:start w:val="1"/>
      <w:numFmt w:val="lowerRoman"/>
      <w:lvlText w:val="%6."/>
      <w:lvlJc w:val="right"/>
      <w:pPr>
        <w:ind w:left="3118" w:hanging="420"/>
      </w:pPr>
      <w:rPr>
        <w:rFonts w:hint="eastAsia" w:ascii="宋体" w:hAnsi="宋体" w:eastAsia="宋体"/>
      </w:rPr>
    </w:lvl>
    <w:lvl w:ilvl="6" w:tentative="0">
      <w:start w:val="1"/>
      <w:numFmt w:val="decimal"/>
      <w:lvlText w:val="%7."/>
      <w:lvlJc w:val="left"/>
      <w:pPr>
        <w:ind w:left="3538" w:hanging="420"/>
      </w:pPr>
      <w:rPr>
        <w:rFonts w:hint="eastAsia" w:ascii="宋体" w:hAnsi="宋体" w:eastAsia="宋体"/>
      </w:rPr>
    </w:lvl>
    <w:lvl w:ilvl="7" w:tentative="0">
      <w:start w:val="1"/>
      <w:numFmt w:val="lowerLetter"/>
      <w:lvlText w:val="%8)"/>
      <w:lvlJc w:val="left"/>
      <w:pPr>
        <w:ind w:left="3958" w:hanging="420"/>
      </w:pPr>
      <w:rPr>
        <w:rFonts w:hint="eastAsia" w:ascii="宋体" w:hAnsi="宋体" w:eastAsia="宋体"/>
      </w:rPr>
    </w:lvl>
    <w:lvl w:ilvl="8" w:tentative="0">
      <w:start w:val="1"/>
      <w:numFmt w:val="lowerRoman"/>
      <w:lvlText w:val="%9."/>
      <w:lvlJc w:val="right"/>
      <w:pPr>
        <w:ind w:left="4378" w:hanging="420"/>
      </w:pPr>
      <w:rPr>
        <w:rFonts w:hint="eastAsia" w:ascii="宋体" w:hAnsi="宋体" w:eastAsia="宋体"/>
      </w:rPr>
    </w:lvl>
  </w:abstractNum>
  <w:abstractNum w:abstractNumId="53">
    <w:nsid w:val="6440DAD6"/>
    <w:multiLevelType w:val="multilevel"/>
    <w:tmpl w:val="6440DAD6"/>
    <w:lvl w:ilvl="0" w:tentative="0">
      <w:start w:val="1"/>
      <w:numFmt w:val="decimal"/>
      <w:suff w:val="nothing"/>
      <w:lvlText w:val="（%1）"/>
      <w:lvlJc w:val="left"/>
      <w:pPr>
        <w:ind w:left="900" w:hanging="420"/>
      </w:pPr>
      <w:rPr>
        <w:rFonts w:hint="eastAsia" w:ascii="宋体" w:hAnsi="宋体" w:eastAsia="宋体"/>
        <w:b w:val="0"/>
        <w:bCs w:val="0"/>
      </w:rPr>
    </w:lvl>
    <w:lvl w:ilvl="1" w:tentative="0">
      <w:start w:val="1"/>
      <w:numFmt w:val="lowerLetter"/>
      <w:lvlText w:val="%2)"/>
      <w:lvlJc w:val="left"/>
      <w:pPr>
        <w:ind w:left="1320" w:hanging="420"/>
      </w:pPr>
      <w:rPr>
        <w:rFonts w:hint="eastAsia" w:ascii="宋体" w:hAnsi="宋体" w:eastAsia="宋体"/>
      </w:rPr>
    </w:lvl>
    <w:lvl w:ilvl="2" w:tentative="0">
      <w:start w:val="1"/>
      <w:numFmt w:val="lowerRoman"/>
      <w:lvlText w:val="%3."/>
      <w:lvlJc w:val="right"/>
      <w:pPr>
        <w:ind w:left="1740" w:hanging="420"/>
      </w:pPr>
      <w:rPr>
        <w:rFonts w:hint="eastAsia" w:ascii="宋体" w:hAnsi="宋体" w:eastAsia="宋体"/>
      </w:rPr>
    </w:lvl>
    <w:lvl w:ilvl="3" w:tentative="0">
      <w:start w:val="1"/>
      <w:numFmt w:val="decimal"/>
      <w:lvlText w:val="%4."/>
      <w:lvlJc w:val="left"/>
      <w:pPr>
        <w:ind w:left="2160" w:hanging="420"/>
      </w:pPr>
      <w:rPr>
        <w:rFonts w:hint="eastAsia" w:ascii="宋体" w:hAnsi="宋体" w:eastAsia="宋体"/>
      </w:rPr>
    </w:lvl>
    <w:lvl w:ilvl="4" w:tentative="0">
      <w:start w:val="1"/>
      <w:numFmt w:val="lowerLetter"/>
      <w:lvlText w:val="%5)"/>
      <w:lvlJc w:val="left"/>
      <w:pPr>
        <w:ind w:left="2580" w:hanging="420"/>
      </w:pPr>
      <w:rPr>
        <w:rFonts w:hint="eastAsia" w:ascii="宋体" w:hAnsi="宋体" w:eastAsia="宋体"/>
      </w:rPr>
    </w:lvl>
    <w:lvl w:ilvl="5" w:tentative="0">
      <w:start w:val="1"/>
      <w:numFmt w:val="lowerRoman"/>
      <w:lvlText w:val="%6."/>
      <w:lvlJc w:val="right"/>
      <w:pPr>
        <w:ind w:left="3000" w:hanging="420"/>
      </w:pPr>
      <w:rPr>
        <w:rFonts w:hint="eastAsia" w:ascii="宋体" w:hAnsi="宋体" w:eastAsia="宋体"/>
      </w:rPr>
    </w:lvl>
    <w:lvl w:ilvl="6" w:tentative="0">
      <w:start w:val="1"/>
      <w:numFmt w:val="decimal"/>
      <w:lvlText w:val="%7."/>
      <w:lvlJc w:val="left"/>
      <w:pPr>
        <w:ind w:left="3420" w:hanging="420"/>
      </w:pPr>
      <w:rPr>
        <w:rFonts w:hint="eastAsia" w:ascii="宋体" w:hAnsi="宋体" w:eastAsia="宋体"/>
      </w:rPr>
    </w:lvl>
    <w:lvl w:ilvl="7" w:tentative="0">
      <w:start w:val="1"/>
      <w:numFmt w:val="lowerLetter"/>
      <w:lvlText w:val="%8)"/>
      <w:lvlJc w:val="left"/>
      <w:pPr>
        <w:ind w:left="3840" w:hanging="420"/>
      </w:pPr>
      <w:rPr>
        <w:rFonts w:hint="eastAsia" w:ascii="宋体" w:hAnsi="宋体" w:eastAsia="宋体"/>
      </w:rPr>
    </w:lvl>
    <w:lvl w:ilvl="8" w:tentative="0">
      <w:start w:val="1"/>
      <w:numFmt w:val="lowerRoman"/>
      <w:lvlText w:val="%9."/>
      <w:lvlJc w:val="right"/>
      <w:pPr>
        <w:ind w:left="4260" w:hanging="420"/>
      </w:pPr>
      <w:rPr>
        <w:rFonts w:hint="eastAsia" w:ascii="宋体" w:hAnsi="宋体" w:eastAsia="宋体"/>
      </w:rPr>
    </w:lvl>
  </w:abstractNum>
  <w:abstractNum w:abstractNumId="54">
    <w:nsid w:val="6440DAE1"/>
    <w:multiLevelType w:val="multilevel"/>
    <w:tmpl w:val="6440DAE1"/>
    <w:lvl w:ilvl="0" w:tentative="0">
      <w:start w:val="1"/>
      <w:numFmt w:val="decimal"/>
      <w:lvlText w:val="%1."/>
      <w:lvlJc w:val="left"/>
      <w:pPr>
        <w:ind w:left="900" w:hanging="420"/>
      </w:pPr>
      <w:rPr>
        <w:rFonts w:hint="eastAsia" w:ascii="宋体" w:hAnsi="宋体" w:eastAsia="宋体"/>
      </w:rPr>
    </w:lvl>
    <w:lvl w:ilvl="1" w:tentative="0">
      <w:start w:val="1"/>
      <w:numFmt w:val="lowerLetter"/>
      <w:lvlText w:val="%2)"/>
      <w:lvlJc w:val="left"/>
      <w:pPr>
        <w:ind w:left="1320" w:hanging="420"/>
      </w:pPr>
      <w:rPr>
        <w:rFonts w:hint="eastAsia" w:ascii="宋体" w:hAnsi="宋体" w:eastAsia="宋体"/>
      </w:rPr>
    </w:lvl>
    <w:lvl w:ilvl="2" w:tentative="0">
      <w:start w:val="1"/>
      <w:numFmt w:val="lowerRoman"/>
      <w:lvlText w:val="%3."/>
      <w:lvlJc w:val="right"/>
      <w:pPr>
        <w:ind w:left="1740" w:hanging="420"/>
      </w:pPr>
      <w:rPr>
        <w:rFonts w:hint="eastAsia" w:ascii="宋体" w:hAnsi="宋体" w:eastAsia="宋体"/>
      </w:rPr>
    </w:lvl>
    <w:lvl w:ilvl="3" w:tentative="0">
      <w:start w:val="1"/>
      <w:numFmt w:val="decimal"/>
      <w:suff w:val="nothing"/>
      <w:lvlText w:val="%4."/>
      <w:lvlJc w:val="left"/>
      <w:pPr>
        <w:ind w:left="2160" w:hanging="420"/>
      </w:pPr>
      <w:rPr>
        <w:rFonts w:hint="eastAsia" w:ascii="宋体" w:hAnsi="宋体" w:eastAsia="宋体"/>
      </w:rPr>
    </w:lvl>
    <w:lvl w:ilvl="4" w:tentative="0">
      <w:start w:val="1"/>
      <w:numFmt w:val="lowerLetter"/>
      <w:lvlText w:val="%5)"/>
      <w:lvlJc w:val="left"/>
      <w:pPr>
        <w:ind w:left="2580" w:hanging="420"/>
      </w:pPr>
      <w:rPr>
        <w:rFonts w:hint="eastAsia" w:ascii="宋体" w:hAnsi="宋体" w:eastAsia="宋体"/>
      </w:rPr>
    </w:lvl>
    <w:lvl w:ilvl="5" w:tentative="0">
      <w:start w:val="1"/>
      <w:numFmt w:val="lowerRoman"/>
      <w:lvlText w:val="%6."/>
      <w:lvlJc w:val="right"/>
      <w:pPr>
        <w:ind w:left="3000" w:hanging="420"/>
      </w:pPr>
      <w:rPr>
        <w:rFonts w:hint="eastAsia" w:ascii="宋体" w:hAnsi="宋体" w:eastAsia="宋体"/>
      </w:rPr>
    </w:lvl>
    <w:lvl w:ilvl="6" w:tentative="0">
      <w:start w:val="1"/>
      <w:numFmt w:val="decimal"/>
      <w:lvlText w:val="%7."/>
      <w:lvlJc w:val="left"/>
      <w:pPr>
        <w:ind w:left="3420" w:hanging="420"/>
      </w:pPr>
      <w:rPr>
        <w:rFonts w:hint="eastAsia" w:ascii="宋体" w:hAnsi="宋体" w:eastAsia="宋体"/>
      </w:rPr>
    </w:lvl>
    <w:lvl w:ilvl="7" w:tentative="0">
      <w:start w:val="1"/>
      <w:numFmt w:val="lowerLetter"/>
      <w:lvlText w:val="%8)"/>
      <w:lvlJc w:val="left"/>
      <w:pPr>
        <w:ind w:left="3840" w:hanging="420"/>
      </w:pPr>
      <w:rPr>
        <w:rFonts w:hint="eastAsia" w:ascii="宋体" w:hAnsi="宋体" w:eastAsia="宋体"/>
      </w:rPr>
    </w:lvl>
    <w:lvl w:ilvl="8" w:tentative="0">
      <w:start w:val="1"/>
      <w:numFmt w:val="lowerRoman"/>
      <w:lvlText w:val="%9."/>
      <w:lvlJc w:val="right"/>
      <w:pPr>
        <w:ind w:left="4260" w:hanging="420"/>
      </w:pPr>
      <w:rPr>
        <w:rFonts w:hint="eastAsia" w:ascii="宋体" w:hAnsi="宋体" w:eastAsia="宋体"/>
      </w:rPr>
    </w:lvl>
  </w:abstractNum>
  <w:abstractNum w:abstractNumId="55">
    <w:nsid w:val="6440DAEC"/>
    <w:multiLevelType w:val="multilevel"/>
    <w:tmpl w:val="6440DAEC"/>
    <w:lvl w:ilvl="0" w:tentative="0">
      <w:start w:val="7"/>
      <w:numFmt w:val="chineseCounting"/>
      <w:suff w:val="space"/>
      <w:lvlText w:val="第%1章"/>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6">
    <w:nsid w:val="6440DAF7"/>
    <w:multiLevelType w:val="multilevel"/>
    <w:tmpl w:val="6440DAF7"/>
    <w:lvl w:ilvl="0" w:tentative="0">
      <w:start w:val="1"/>
      <w:numFmt w:val="decimal"/>
      <w:suff w:val="nothing"/>
      <w:lvlText w:val="（%1）"/>
      <w:lvlJc w:val="left"/>
      <w:pPr>
        <w:ind w:left="1696" w:hanging="420"/>
      </w:pPr>
      <w:rPr>
        <w:rFonts w:hint="eastAsia" w:ascii="宋体" w:hAnsi="宋体" w:eastAsia="宋体"/>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57">
    <w:nsid w:val="6440DB02"/>
    <w:multiLevelType w:val="multilevel"/>
    <w:tmpl w:val="6440DB02"/>
    <w:lvl w:ilvl="0" w:tentative="0">
      <w:start w:val="1"/>
      <w:numFmt w:val="none"/>
      <w:lvlText w:val="一、"/>
      <w:lvlJc w:val="left"/>
      <w:pPr>
        <w:tabs>
          <w:tab w:val="left" w:pos="1080"/>
        </w:tabs>
        <w:ind w:left="1080" w:hanging="720"/>
      </w:pPr>
      <w:rPr>
        <w:rFonts w:hint="eastAsia" w:ascii="Times New Roman" w:hAnsi="Times New Roman" w:eastAsia="宋体" w:cs="Times New Roman"/>
        <w:sz w:val="32"/>
        <w:szCs w:val="32"/>
      </w:rPr>
    </w:lvl>
    <w:lvl w:ilvl="1" w:tentative="0">
      <w:start w:val="1"/>
      <w:numFmt w:val="decimal"/>
      <w:suff w:val="nothing"/>
      <w:lvlText w:val="%2."/>
      <w:lvlJc w:val="left"/>
      <w:pPr>
        <w:ind w:left="1140" w:hanging="360"/>
      </w:pPr>
      <w:rPr>
        <w:rFonts w:hint="eastAsia" w:ascii="宋体" w:hAnsi="宋体" w:eastAsia="宋体"/>
      </w:rPr>
    </w:lvl>
    <w:lvl w:ilvl="2" w:tentative="0">
      <w:start w:val="1"/>
      <w:numFmt w:val="decimal"/>
      <w:lvlText w:val="（%3）"/>
      <w:lvlJc w:val="left"/>
      <w:pPr>
        <w:tabs>
          <w:tab w:val="left" w:pos="1920"/>
        </w:tabs>
        <w:ind w:left="1920" w:hanging="720"/>
      </w:pPr>
      <w:rPr>
        <w:rFonts w:hint="eastAsia" w:ascii="宋体" w:hAnsi="宋体" w:eastAsia="宋体"/>
      </w:rPr>
    </w:lvl>
    <w:lvl w:ilvl="3" w:tentative="0">
      <w:start w:val="1"/>
      <w:numFmt w:val="decimal"/>
      <w:lvlText w:val="%4."/>
      <w:lvlJc w:val="left"/>
      <w:pPr>
        <w:tabs>
          <w:tab w:val="left" w:pos="2040"/>
        </w:tabs>
        <w:ind w:left="2040" w:hanging="420"/>
      </w:pPr>
      <w:rPr>
        <w:rFonts w:hint="eastAsia" w:ascii="宋体" w:hAnsi="宋体" w:eastAsia="宋体"/>
      </w:rPr>
    </w:lvl>
    <w:lvl w:ilvl="4" w:tentative="0">
      <w:start w:val="1"/>
      <w:numFmt w:val="lowerLetter"/>
      <w:lvlText w:val="%5)"/>
      <w:lvlJc w:val="left"/>
      <w:pPr>
        <w:tabs>
          <w:tab w:val="left" w:pos="2460"/>
        </w:tabs>
        <w:ind w:left="2460" w:hanging="420"/>
      </w:pPr>
      <w:rPr>
        <w:rFonts w:hint="eastAsia" w:ascii="宋体" w:hAnsi="宋体" w:eastAsia="宋体"/>
      </w:rPr>
    </w:lvl>
    <w:lvl w:ilvl="5" w:tentative="0">
      <w:start w:val="1"/>
      <w:numFmt w:val="lowerRoman"/>
      <w:lvlText w:val="%6."/>
      <w:lvlJc w:val="right"/>
      <w:pPr>
        <w:tabs>
          <w:tab w:val="left" w:pos="2880"/>
        </w:tabs>
        <w:ind w:left="2880" w:hanging="420"/>
      </w:pPr>
      <w:rPr>
        <w:rFonts w:hint="eastAsia" w:ascii="宋体" w:hAnsi="宋体" w:eastAsia="宋体"/>
      </w:rPr>
    </w:lvl>
    <w:lvl w:ilvl="6" w:tentative="0">
      <w:start w:val="1"/>
      <w:numFmt w:val="decimal"/>
      <w:lvlText w:val="%7."/>
      <w:lvlJc w:val="left"/>
      <w:pPr>
        <w:tabs>
          <w:tab w:val="left" w:pos="3300"/>
        </w:tabs>
        <w:ind w:left="3300" w:hanging="420"/>
      </w:pPr>
      <w:rPr>
        <w:rFonts w:hint="eastAsia" w:ascii="宋体" w:hAnsi="宋体" w:eastAsia="宋体"/>
      </w:rPr>
    </w:lvl>
    <w:lvl w:ilvl="7" w:tentative="0">
      <w:start w:val="1"/>
      <w:numFmt w:val="lowerLetter"/>
      <w:lvlText w:val="%8)"/>
      <w:lvlJc w:val="left"/>
      <w:pPr>
        <w:tabs>
          <w:tab w:val="left" w:pos="3720"/>
        </w:tabs>
        <w:ind w:left="3720" w:hanging="420"/>
      </w:pPr>
      <w:rPr>
        <w:rFonts w:hint="eastAsia" w:ascii="宋体" w:hAnsi="宋体" w:eastAsia="宋体"/>
      </w:rPr>
    </w:lvl>
    <w:lvl w:ilvl="8" w:tentative="0">
      <w:start w:val="1"/>
      <w:numFmt w:val="lowerRoman"/>
      <w:lvlText w:val="%9."/>
      <w:lvlJc w:val="right"/>
      <w:pPr>
        <w:tabs>
          <w:tab w:val="left" w:pos="4140"/>
        </w:tabs>
        <w:ind w:left="4140" w:hanging="420"/>
      </w:pPr>
      <w:rPr>
        <w:rFonts w:hint="eastAsia" w:ascii="宋体" w:hAnsi="宋体" w:eastAsia="宋体"/>
      </w:rPr>
    </w:lvl>
  </w:abstractNum>
  <w:abstractNum w:abstractNumId="58">
    <w:nsid w:val="6440DB0D"/>
    <w:multiLevelType w:val="multilevel"/>
    <w:tmpl w:val="6440DB0D"/>
    <w:lvl w:ilvl="0" w:tentative="0">
      <w:start w:val="1"/>
      <w:numFmt w:val="japaneseCounting"/>
      <w:lvlText w:val="%1、"/>
      <w:lvlJc w:val="left"/>
      <w:pPr>
        <w:tabs>
          <w:tab w:val="left" w:pos="1347"/>
        </w:tabs>
        <w:ind w:left="1347" w:hanging="720"/>
      </w:pPr>
      <w:rPr>
        <w:rFonts w:hint="eastAsia" w:ascii="宋体" w:hAnsi="宋体" w:eastAsia="宋体"/>
      </w:rPr>
    </w:lvl>
    <w:lvl w:ilvl="1" w:tentative="0">
      <w:start w:val="1"/>
      <w:numFmt w:val="decimal"/>
      <w:suff w:val="nothing"/>
      <w:lvlText w:val="%2. "/>
      <w:lvlJc w:val="left"/>
      <w:pPr>
        <w:ind w:left="1767" w:hanging="720"/>
      </w:pPr>
      <w:rPr>
        <w:rFonts w:hint="eastAsia" w:ascii="宋体" w:hAnsi="宋体" w:eastAsia="宋体"/>
      </w:rPr>
    </w:lvl>
    <w:lvl w:ilvl="2" w:tentative="0">
      <w:start w:val="1"/>
      <w:numFmt w:val="lowerRoman"/>
      <w:lvlText w:val="%3."/>
      <w:lvlJc w:val="right"/>
      <w:pPr>
        <w:tabs>
          <w:tab w:val="left" w:pos="1887"/>
        </w:tabs>
        <w:ind w:left="1887" w:hanging="420"/>
      </w:pPr>
      <w:rPr>
        <w:rFonts w:hint="eastAsia" w:ascii="宋体" w:hAnsi="宋体" w:eastAsia="宋体"/>
      </w:rPr>
    </w:lvl>
    <w:lvl w:ilvl="3" w:tentative="0">
      <w:start w:val="1"/>
      <w:numFmt w:val="decimal"/>
      <w:lvlText w:val="%4."/>
      <w:lvlJc w:val="left"/>
      <w:pPr>
        <w:tabs>
          <w:tab w:val="left" w:pos="2307"/>
        </w:tabs>
        <w:ind w:left="2307" w:hanging="420"/>
      </w:pPr>
      <w:rPr>
        <w:rFonts w:hint="eastAsia" w:ascii="宋体" w:hAnsi="宋体" w:eastAsia="宋体"/>
      </w:rPr>
    </w:lvl>
    <w:lvl w:ilvl="4" w:tentative="0">
      <w:start w:val="1"/>
      <w:numFmt w:val="lowerLetter"/>
      <w:lvlText w:val="%5)"/>
      <w:lvlJc w:val="left"/>
      <w:pPr>
        <w:tabs>
          <w:tab w:val="left" w:pos="2727"/>
        </w:tabs>
        <w:ind w:left="2727" w:hanging="420"/>
      </w:pPr>
      <w:rPr>
        <w:rFonts w:hint="eastAsia" w:ascii="宋体" w:hAnsi="宋体" w:eastAsia="宋体"/>
      </w:rPr>
    </w:lvl>
    <w:lvl w:ilvl="5" w:tentative="0">
      <w:start w:val="1"/>
      <w:numFmt w:val="lowerRoman"/>
      <w:lvlText w:val="%6."/>
      <w:lvlJc w:val="right"/>
      <w:pPr>
        <w:tabs>
          <w:tab w:val="left" w:pos="3147"/>
        </w:tabs>
        <w:ind w:left="3147" w:hanging="420"/>
      </w:pPr>
      <w:rPr>
        <w:rFonts w:hint="eastAsia" w:ascii="宋体" w:hAnsi="宋体" w:eastAsia="宋体"/>
      </w:rPr>
    </w:lvl>
    <w:lvl w:ilvl="6" w:tentative="0">
      <w:start w:val="1"/>
      <w:numFmt w:val="decimal"/>
      <w:lvlText w:val="%7."/>
      <w:lvlJc w:val="left"/>
      <w:pPr>
        <w:tabs>
          <w:tab w:val="left" w:pos="3567"/>
        </w:tabs>
        <w:ind w:left="3567" w:hanging="420"/>
      </w:pPr>
      <w:rPr>
        <w:rFonts w:hint="eastAsia" w:ascii="宋体" w:hAnsi="宋体" w:eastAsia="宋体"/>
      </w:rPr>
    </w:lvl>
    <w:lvl w:ilvl="7" w:tentative="0">
      <w:start w:val="1"/>
      <w:numFmt w:val="lowerLetter"/>
      <w:lvlText w:val="%8)"/>
      <w:lvlJc w:val="left"/>
      <w:pPr>
        <w:tabs>
          <w:tab w:val="left" w:pos="3987"/>
        </w:tabs>
        <w:ind w:left="3987" w:hanging="420"/>
      </w:pPr>
      <w:rPr>
        <w:rFonts w:hint="eastAsia" w:ascii="宋体" w:hAnsi="宋体" w:eastAsia="宋体"/>
      </w:rPr>
    </w:lvl>
    <w:lvl w:ilvl="8" w:tentative="0">
      <w:start w:val="1"/>
      <w:numFmt w:val="lowerRoman"/>
      <w:lvlText w:val="%9."/>
      <w:lvlJc w:val="right"/>
      <w:pPr>
        <w:tabs>
          <w:tab w:val="left" w:pos="4407"/>
        </w:tabs>
        <w:ind w:left="4407" w:hanging="420"/>
      </w:pPr>
      <w:rPr>
        <w:rFonts w:hint="eastAsia" w:ascii="宋体" w:hAnsi="宋体" w:eastAsia="宋体"/>
      </w:rPr>
    </w:lvl>
  </w:abstractNum>
  <w:num w:numId="1">
    <w:abstractNumId w:val="19"/>
  </w:num>
  <w:num w:numId="2">
    <w:abstractNumId w:val="5"/>
  </w:num>
  <w:num w:numId="3">
    <w:abstractNumId w:val="20"/>
  </w:num>
  <w:num w:numId="4">
    <w:abstractNumId w:val="26"/>
    <w:lvlOverride w:ilvl="2">
      <w:startOverride w:val="1"/>
    </w:lvlOverride>
  </w:num>
  <w:num w:numId="5">
    <w:abstractNumId w:val="27"/>
    <w:lvlOverride w:ilvl="2">
      <w:startOverride w:val="1"/>
    </w:lvlOverride>
  </w:num>
  <w:num w:numId="6">
    <w:abstractNumId w:val="28"/>
    <w:lvlOverride w:ilvl="2">
      <w:startOverride w:val="1"/>
    </w:lvlOverride>
  </w:num>
  <w:num w:numId="7">
    <w:abstractNumId w:val="29"/>
    <w:lvlOverride w:ilvl="2">
      <w:startOverride w:val="1"/>
    </w:lvlOverride>
  </w:num>
  <w:num w:numId="8">
    <w:abstractNumId w:val="30"/>
    <w:lvlOverride w:ilvl="0">
      <w:startOverride w:val="1"/>
    </w:lvlOverride>
  </w:num>
  <w:num w:numId="9">
    <w:abstractNumId w:val="31"/>
    <w:lvlOverride w:ilvl="0">
      <w:startOverride w:val="1"/>
    </w:lvlOverride>
  </w:num>
  <w:num w:numId="10">
    <w:abstractNumId w:val="32"/>
    <w:lvlOverride w:ilvl="0">
      <w:startOverride w:val="1"/>
    </w:lvlOverride>
  </w:num>
  <w:num w:numId="11">
    <w:abstractNumId w:val="33"/>
    <w:lvlOverride w:ilvl="2">
      <w:startOverride w:val="1"/>
    </w:lvlOverride>
  </w:num>
  <w:num w:numId="12">
    <w:abstractNumId w:val="34"/>
    <w:lvlOverride w:ilvl="2">
      <w:startOverride w:val="1"/>
    </w:lvlOverride>
  </w:num>
  <w:num w:numId="13">
    <w:abstractNumId w:val="35"/>
    <w:lvlOverride w:ilvl="2">
      <w:startOverride w:val="1"/>
    </w:lvlOverride>
  </w:num>
  <w:num w:numId="14">
    <w:abstractNumId w:val="36"/>
    <w:lvlOverride w:ilvl="0">
      <w:startOverride w:val="1"/>
    </w:lvlOverride>
  </w:num>
  <w:num w:numId="15">
    <w:abstractNumId w:val="37"/>
    <w:lvlOverride w:ilvl="2">
      <w:startOverride w:val="1"/>
    </w:lvlOverride>
  </w:num>
  <w:num w:numId="16">
    <w:abstractNumId w:val="38"/>
    <w:lvlOverride w:ilvl="2">
      <w:startOverride w:val="1"/>
    </w:lvlOverride>
  </w:num>
  <w:num w:numId="17">
    <w:abstractNumId w:val="39"/>
    <w:lvlOverride w:ilvl="0">
      <w:startOverride w:val="1"/>
    </w:lvlOverride>
  </w:num>
  <w:num w:numId="18">
    <w:abstractNumId w:val="40"/>
    <w:lvlOverride w:ilvl="0">
      <w:startOverride w:val="1"/>
    </w:lvlOverride>
  </w:num>
  <w:num w:numId="19">
    <w:abstractNumId w:val="41"/>
    <w:lvlOverride w:ilvl="2">
      <w:startOverride w:val="1"/>
    </w:lvlOverride>
  </w:num>
  <w:num w:numId="20">
    <w:abstractNumId w:val="42"/>
    <w:lvlOverride w:ilvl="2">
      <w:startOverride w:val="1"/>
    </w:lvlOverride>
  </w:num>
  <w:num w:numId="21">
    <w:abstractNumId w:val="43"/>
    <w:lvlOverride w:ilvl="2">
      <w:startOverride w:val="1"/>
    </w:lvlOverride>
  </w:num>
  <w:num w:numId="22">
    <w:abstractNumId w:val="44"/>
    <w:lvlOverride w:ilvl="2">
      <w:startOverride w:val="1"/>
    </w:lvlOverride>
  </w:num>
  <w:num w:numId="23">
    <w:abstractNumId w:val="45"/>
    <w:lvlOverride w:ilvl="0">
      <w:startOverride w:val="1"/>
    </w:lvlOverride>
  </w:num>
  <w:num w:numId="24">
    <w:abstractNumId w:val="46"/>
    <w:lvlOverride w:ilvl="1">
      <w:startOverride w:val="1"/>
    </w:lvlOverride>
  </w:num>
  <w:num w:numId="25">
    <w:abstractNumId w:val="47"/>
    <w:lvlOverride w:ilvl="1">
      <w:startOverride w:val="1"/>
    </w:lvlOverride>
  </w:num>
  <w:num w:numId="26">
    <w:abstractNumId w:val="48"/>
    <w:lvlOverride w:ilvl="1">
      <w:startOverride w:val="1"/>
    </w:lvlOverride>
  </w:num>
  <w:num w:numId="27">
    <w:abstractNumId w:val="49"/>
    <w:lvlOverride w:ilvl="1">
      <w:startOverride w:val="1"/>
    </w:lvlOverride>
  </w:num>
  <w:num w:numId="28">
    <w:abstractNumId w:val="50"/>
    <w:lvlOverride w:ilvl="1">
      <w:startOverride w:val="1"/>
    </w:lvlOverride>
  </w:num>
  <w:num w:numId="29">
    <w:abstractNumId w:val="51"/>
    <w:lvlOverride w:ilvl="1">
      <w:startOverride w:val="1"/>
    </w:lvlOverride>
  </w:num>
  <w:num w:numId="30">
    <w:abstractNumId w:val="52"/>
    <w:lvlOverride w:ilvl="0">
      <w:startOverride w:val="1"/>
    </w:lvlOverride>
  </w:num>
  <w:num w:numId="31">
    <w:abstractNumId w:val="9"/>
  </w:num>
  <w:num w:numId="32">
    <w:abstractNumId w:val="36"/>
    <w:lvlOverride w:ilvl="0">
      <w:startOverride w:val="1"/>
    </w:lvlOverride>
  </w:num>
  <w:num w:numId="33">
    <w:abstractNumId w:val="24"/>
  </w:num>
  <w:num w:numId="34">
    <w:abstractNumId w:val="12"/>
  </w:num>
  <w:num w:numId="35">
    <w:abstractNumId w:val="53"/>
    <w:lvlOverride w:ilvl="0">
      <w:startOverride w:val="1"/>
    </w:lvlOverride>
  </w:num>
  <w:num w:numId="36">
    <w:abstractNumId w:val="8"/>
  </w:num>
  <w:num w:numId="37">
    <w:abstractNumId w:val="18"/>
  </w:num>
  <w:num w:numId="38">
    <w:abstractNumId w:val="2"/>
  </w:num>
  <w:num w:numId="39">
    <w:abstractNumId w:val="14"/>
  </w:num>
  <w:num w:numId="40">
    <w:abstractNumId w:val="15"/>
  </w:num>
  <w:num w:numId="41">
    <w:abstractNumId w:val="22"/>
  </w:num>
  <w:num w:numId="42">
    <w:abstractNumId w:val="4"/>
  </w:num>
  <w:num w:numId="43">
    <w:abstractNumId w:val="0"/>
  </w:num>
  <w:num w:numId="44">
    <w:abstractNumId w:val="6"/>
  </w:num>
  <w:num w:numId="45">
    <w:abstractNumId w:val="11"/>
  </w:num>
  <w:num w:numId="46">
    <w:abstractNumId w:val="1"/>
  </w:num>
  <w:num w:numId="47">
    <w:abstractNumId w:val="7"/>
  </w:num>
  <w:num w:numId="48">
    <w:abstractNumId w:val="13"/>
  </w:num>
  <w:num w:numId="49">
    <w:abstractNumId w:val="23"/>
  </w:num>
  <w:num w:numId="50">
    <w:abstractNumId w:val="3"/>
  </w:num>
  <w:num w:numId="51">
    <w:abstractNumId w:val="16"/>
  </w:num>
  <w:num w:numId="52">
    <w:abstractNumId w:val="25"/>
  </w:num>
  <w:num w:numId="53">
    <w:abstractNumId w:val="17"/>
  </w:num>
  <w:num w:numId="54">
    <w:abstractNumId w:val="55"/>
    <w:lvlOverride w:ilvl="0">
      <w:startOverride w:val="7"/>
    </w:lvlOverride>
  </w:num>
  <w:num w:numId="55">
    <w:abstractNumId w:val="54"/>
    <w:lvlOverride w:ilvl="3">
      <w:startOverride w:val="1"/>
    </w:lvlOverride>
  </w:num>
  <w:num w:numId="56">
    <w:abstractNumId w:val="21"/>
  </w:num>
  <w:num w:numId="57">
    <w:abstractNumId w:val="10"/>
  </w:num>
  <w:num w:numId="58">
    <w:abstractNumId w:val="56"/>
    <w:lvlOverride w:ilvl="0">
      <w:startOverride w:val="1"/>
    </w:lvlOverride>
  </w:num>
  <w:num w:numId="59">
    <w:abstractNumId w:val="57"/>
    <w:lvlOverride w:ilvl="1">
      <w:startOverride w:val="1"/>
    </w:lvlOverride>
  </w:num>
  <w:num w:numId="60">
    <w:abstractNumId w:val="58"/>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14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heading 1"/>
    <w:basedOn w:val="1"/>
    <w:next w:val="1"/>
    <w:qFormat/>
    <w:uiPriority w:val="99"/>
    <w:pPr>
      <w:spacing w:before="100" w:beforeAutospacing="1" w:after="100" w:afterAutospacing="1" w:line="360" w:lineRule="auto"/>
      <w:ind w:left="3"/>
      <w:jc w:val="center"/>
      <w:outlineLvl w:val="0"/>
    </w:pPr>
    <w:rPr>
      <w:rFonts w:eastAsia="黑体"/>
      <w:bCs/>
      <w:kern w:val="44"/>
      <w:sz w:val="44"/>
      <w:szCs w:val="44"/>
    </w:rPr>
  </w:style>
  <w:style w:type="paragraph" w:styleId="4">
    <w:name w:val="heading 3"/>
    <w:basedOn w:val="1"/>
    <w:next w:val="5"/>
    <w:qFormat/>
    <w:uiPriority w:val="99"/>
    <w:pPr>
      <w:spacing w:before="100" w:beforeAutospacing="1" w:after="100" w:afterAutospacing="1"/>
      <w:ind w:left="100"/>
      <w:outlineLvl w:val="2"/>
    </w:pPr>
    <w:rPr>
      <w:b/>
      <w:bCs/>
      <w:sz w:val="32"/>
      <w:szCs w:val="32"/>
    </w:rPr>
  </w:style>
  <w:style w:type="paragraph" w:styleId="6">
    <w:name w:val="heading 4"/>
    <w:basedOn w:val="1"/>
    <w:next w:val="1"/>
    <w:qFormat/>
    <w:uiPriority w:val="99"/>
    <w:pPr>
      <w:spacing w:before="100" w:beforeAutospacing="1" w:after="100" w:afterAutospacing="1"/>
      <w:ind w:left="237"/>
      <w:outlineLvl w:val="3"/>
    </w:pPr>
    <w:rPr>
      <w:rFonts w:ascii="Cambria" w:hAnsi="Cambria"/>
      <w:b/>
      <w:bCs/>
      <w:sz w:val="28"/>
      <w:szCs w:val="28"/>
    </w:rPr>
  </w:style>
  <w:style w:type="character" w:default="1" w:styleId="20">
    <w:name w:val="Default Paragraph Font"/>
    <w:semiHidden/>
    <w:uiPriority w:val="0"/>
  </w:style>
  <w:style w:type="table" w:default="1" w:styleId="18">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5">
    <w:name w:val="Normal Indent"/>
    <w:basedOn w:val="1"/>
    <w:qFormat/>
    <w:uiPriority w:val="0"/>
    <w:pPr>
      <w:ind w:firstLine="420"/>
    </w:pPr>
    <w:rPr>
      <w:sz w:val="20"/>
      <w:szCs w:val="20"/>
    </w:rPr>
  </w:style>
  <w:style w:type="paragraph" w:styleId="7">
    <w:name w:val="toa heading"/>
    <w:basedOn w:val="1"/>
    <w:next w:val="1"/>
    <w:unhideWhenUsed/>
    <w:qFormat/>
    <w:uiPriority w:val="99"/>
    <w:pPr>
      <w:spacing w:before="120"/>
    </w:pPr>
    <w:rPr>
      <w:rFonts w:ascii="Arial" w:hAnsi="Arial"/>
    </w:rPr>
  </w:style>
  <w:style w:type="paragraph" w:styleId="8">
    <w:name w:val="annotation text"/>
    <w:basedOn w:val="1"/>
    <w:unhideWhenUsed/>
    <w:qFormat/>
    <w:uiPriority w:val="99"/>
  </w:style>
  <w:style w:type="paragraph" w:styleId="9">
    <w:name w:val="Body Text 3"/>
    <w:basedOn w:val="1"/>
    <w:unhideWhenUsed/>
    <w:qFormat/>
    <w:uiPriority w:val="99"/>
    <w:pPr>
      <w:spacing w:before="100" w:beforeAutospacing="1" w:after="120"/>
    </w:pPr>
    <w:rPr>
      <w:sz w:val="16"/>
      <w:szCs w:val="16"/>
    </w:rPr>
  </w:style>
  <w:style w:type="paragraph" w:styleId="10">
    <w:name w:val="Body Text"/>
    <w:basedOn w:val="1"/>
    <w:next w:val="11"/>
    <w:unhideWhenUsed/>
    <w:qFormat/>
    <w:uiPriority w:val="99"/>
    <w:pPr>
      <w:spacing w:before="100" w:beforeAutospacing="1" w:after="100" w:afterAutospacing="1"/>
      <w:ind w:left="520"/>
    </w:pPr>
  </w:style>
  <w:style w:type="paragraph" w:styleId="11">
    <w:name w:val="Body Text First Indent"/>
    <w:basedOn w:val="10"/>
    <w:next w:val="12"/>
    <w:unhideWhenUsed/>
    <w:qFormat/>
    <w:uiPriority w:val="99"/>
    <w:pPr>
      <w:adjustRightInd/>
      <w:ind w:firstLine="420" w:firstLineChars="100"/>
    </w:pPr>
    <w:rPr>
      <w:sz w:val="21"/>
      <w:szCs w:val="21"/>
    </w:rPr>
  </w:style>
  <w:style w:type="paragraph" w:styleId="12">
    <w:name w:val="toc 6"/>
    <w:basedOn w:val="1"/>
    <w:next w:val="1"/>
    <w:unhideWhenUsed/>
    <w:qFormat/>
    <w:uiPriority w:val="99"/>
    <w:pPr>
      <w:autoSpaceDN/>
      <w:adjustRightInd/>
      <w:spacing w:before="100" w:beforeAutospacing="1" w:after="100" w:afterAutospacing="1"/>
      <w:ind w:left="2100" w:leftChars="1000"/>
      <w:jc w:val="both"/>
    </w:pPr>
    <w:rPr>
      <w:kern w:val="2"/>
      <w:sz w:val="21"/>
      <w:szCs w:val="21"/>
    </w:rPr>
  </w:style>
  <w:style w:type="paragraph" w:styleId="13">
    <w:name w:val="Body Text Indent"/>
    <w:basedOn w:val="1"/>
    <w:next w:val="14"/>
    <w:qFormat/>
    <w:uiPriority w:val="0"/>
    <w:pPr>
      <w:spacing w:line="500" w:lineRule="atLeast"/>
      <w:ind w:firstLine="510"/>
    </w:pPr>
    <w:rPr>
      <w:rFonts w:ascii="仿宋_GB2312" w:eastAsia="仿宋_GB2312"/>
      <w:szCs w:val="20"/>
    </w:rPr>
  </w:style>
  <w:style w:type="paragraph" w:styleId="14">
    <w:name w:val="Body Text First Indent 2"/>
    <w:basedOn w:val="13"/>
    <w:unhideWhenUsed/>
    <w:qFormat/>
    <w:uiPriority w:val="99"/>
    <w:pPr>
      <w:spacing w:line="200" w:lineRule="atLeast"/>
      <w:ind w:firstLine="420"/>
    </w:pPr>
    <w:rPr>
      <w:rFonts w:ascii="宋体" w:hAnsi="Courier New"/>
      <w:spacing w:val="-4"/>
      <w:sz w:val="18"/>
    </w:rPr>
  </w:style>
  <w:style w:type="paragraph" w:styleId="15">
    <w:name w:val="Plain Text"/>
    <w:basedOn w:val="1"/>
    <w:unhideWhenUsed/>
    <w:qFormat/>
    <w:uiPriority w:val="99"/>
    <w:pPr>
      <w:autoSpaceDN/>
      <w:adjustRightInd/>
      <w:jc w:val="both"/>
    </w:pPr>
    <w:rPr>
      <w:rFonts w:ascii="宋体" w:hAnsi="Courier New"/>
      <w:sz w:val="20"/>
      <w:szCs w:val="20"/>
    </w:rPr>
  </w:style>
  <w:style w:type="paragraph" w:styleId="16">
    <w:name w:val="footer"/>
    <w:basedOn w:val="1"/>
    <w:unhideWhenUsed/>
    <w:qFormat/>
    <w:uiPriority w:val="99"/>
    <w:pPr>
      <w:snapToGrid w:val="0"/>
    </w:pPr>
    <w:rPr>
      <w:sz w:val="18"/>
      <w:szCs w:val="18"/>
    </w:rPr>
  </w:style>
  <w:style w:type="paragraph" w:styleId="17">
    <w:name w:val="toc 1"/>
    <w:basedOn w:val="1"/>
    <w:next w:val="1"/>
    <w:unhideWhenUsed/>
    <w:qFormat/>
    <w:uiPriority w:val="99"/>
    <w:pPr>
      <w:widowControl/>
      <w:autoSpaceDN/>
      <w:adjustRightInd/>
      <w:spacing w:before="100" w:beforeAutospacing="1" w:after="100" w:line="256" w:lineRule="auto"/>
      <w:jc w:val="center"/>
    </w:pPr>
    <w:rPr>
      <w:rFonts w:ascii="等线" w:hAnsi="等线"/>
      <w:b/>
    </w:rPr>
  </w:style>
  <w:style w:type="table" w:styleId="19">
    <w:name w:val="Table Grid"/>
    <w:basedOn w:val="18"/>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000FF"/>
      <w:u w:val="none"/>
    </w:rPr>
  </w:style>
  <w:style w:type="paragraph" w:customStyle="1" w:styleId="22">
    <w:name w:val="列出段落2"/>
    <w:basedOn w:val="1"/>
    <w:qFormat/>
    <w:uiPriority w:val="0"/>
  </w:style>
  <w:style w:type="paragraph" w:customStyle="1" w:styleId="23">
    <w:name w:val="TOC 标题2"/>
    <w:basedOn w:val="3"/>
    <w:next w:val="1"/>
    <w:semiHidden/>
    <w:qFormat/>
    <w:uiPriority w:val="0"/>
    <w:pPr>
      <w:keepNext/>
      <w:keepLines/>
      <w:widowControl/>
      <w:autoSpaceDN/>
      <w:adjustRightInd/>
      <w:spacing w:before="480" w:beforeAutospacing="0" w:line="273" w:lineRule="auto"/>
      <w:ind w:left="0"/>
      <w:jc w:val="left"/>
      <w:outlineLvl w:val="9"/>
    </w:pPr>
    <w:rPr>
      <w:rFonts w:ascii="Cambria" w:hAnsi="Cambria" w:eastAsia="宋体"/>
      <w:b/>
      <w:color w:val="366091"/>
      <w:kern w:val="0"/>
      <w:sz w:val="28"/>
      <w:szCs w:val="28"/>
    </w:rPr>
  </w:style>
  <w:style w:type="character" w:customStyle="1" w:styleId="24">
    <w:name w:val="18"/>
    <w:qFormat/>
    <w:uiPriority w:val="0"/>
    <w:rPr>
      <w:rFonts w:hint="default" w:ascii="Times New Roman" w:hAnsi="Times New Roman" w:cs="Times New Roman"/>
      <w:color w:val="0000FF"/>
      <w:u w:val="single"/>
    </w:rPr>
  </w:style>
  <w:style w:type="paragraph" w:customStyle="1" w:styleId="25">
    <w:name w:val="内文正文"/>
    <w:basedOn w:val="1"/>
    <w:qFormat/>
    <w:uiPriority w:val="0"/>
    <w:pPr>
      <w:widowControl/>
      <w:adjustRightInd/>
      <w:spacing w:line="400" w:lineRule="exact"/>
      <w:ind w:firstLine="200" w:firstLineChars="200"/>
      <w:jc w:val="both"/>
      <w:textAlignment w:val="bottom"/>
    </w:pPr>
    <w:rPr>
      <w:rFonts w:ascii="宋体" w:hAnsi="???|CS?o｡ﾀ?"/>
      <w:sz w:val="21"/>
      <w:szCs w:val="21"/>
    </w:rPr>
  </w:style>
  <w:style w:type="paragraph" w:customStyle="1" w:styleId="26">
    <w:name w:val="Table Paragraph"/>
    <w:basedOn w:val="1"/>
    <w:qFormat/>
    <w:uiPriority w:val="0"/>
  </w:style>
  <w:style w:type="character" w:customStyle="1" w:styleId="27">
    <w:name w:val="19"/>
    <w:qFormat/>
    <w:uiPriority w:val="0"/>
    <w:rPr>
      <w:rFonts w:hint="default" w:ascii="Times New Roman" w:hAnsi="Times New Roman" w:cs="Times New Roman"/>
      <w:sz w:val="21"/>
      <w:szCs w:val="21"/>
    </w:rPr>
  </w:style>
  <w:style w:type="paragraph" w:customStyle="1" w:styleId="28">
    <w:name w:val="正文，首行缩进:"/>
    <w:basedOn w:val="1"/>
    <w:qFormat/>
    <w:uiPriority w:val="0"/>
    <w:pPr>
      <w:spacing w:line="460" w:lineRule="exact"/>
      <w:ind w:firstLine="480" w:firstLineChars="200"/>
    </w:pPr>
    <w:rPr>
      <w:rFonts w:ascii="宋体" w:hAnsi="宋体" w:cs="宋体"/>
    </w:rPr>
  </w:style>
  <w:style w:type="paragraph" w:customStyle="1" w:styleId="29">
    <w:name w:val="[Normal]"/>
    <w:basedOn w:val="1"/>
    <w:qFormat/>
    <w:uiPriority w:val="0"/>
    <w:pPr>
      <w:widowControl/>
      <w:autoSpaceDE/>
      <w:autoSpaceDN/>
      <w:adjustRightInd/>
    </w:pPr>
    <w:rPr>
      <w:rFonts w:ascii="宋体" w:hAnsi="宋体"/>
    </w:rPr>
  </w:style>
  <w:style w:type="paragraph" w:customStyle="1" w:styleId="30">
    <w:name w:val="列表段落1"/>
    <w:basedOn w:val="1"/>
    <w:qFormat/>
    <w:uiPriority w:val="34"/>
    <w:pPr>
      <w:adjustRightInd/>
      <w:ind w:firstLine="420"/>
    </w:pPr>
    <w:rPr>
      <w:rFonts w:ascii="Calibri" w:hAnsi="Calibri"/>
      <w:kern w:val="2"/>
      <w:sz w:val="21"/>
      <w:szCs w:val="22"/>
    </w:rPr>
  </w:style>
  <w:style w:type="paragraph" w:customStyle="1" w:styleId="31">
    <w:name w:val="样式 正文文本"/>
    <w:basedOn w:val="1"/>
    <w:qFormat/>
    <w:uiPriority w:val="0"/>
    <w:pPr>
      <w:autoSpaceDN/>
      <w:snapToGrid w:val="0"/>
      <w:spacing w:line="400" w:lineRule="exact"/>
      <w:jc w:val="both"/>
    </w:pPr>
    <w:rPr>
      <w:rFonts w:ascii="Arial" w:hAnsi="Arial"/>
      <w:color w:val="000000"/>
      <w:kern w:val="2"/>
      <w:sz w:val="21"/>
      <w:szCs w:val="21"/>
    </w:rPr>
  </w:style>
  <w:style w:type="paragraph" w:customStyle="1" w:styleId="32">
    <w:name w:val="Heading1"/>
    <w:basedOn w:val="1"/>
    <w:next w:val="1"/>
    <w:qFormat/>
    <w:uiPriority w:val="0"/>
    <w:pPr>
      <w:keepNext/>
      <w:keepLines/>
      <w:spacing w:before="340" w:after="330" w:line="576" w:lineRule="auto"/>
      <w:textAlignment w:val="baseline"/>
    </w:pPr>
    <w:rPr>
      <w:b/>
      <w:bCs/>
      <w:kern w:val="44"/>
      <w:sz w:val="44"/>
      <w:szCs w:val="44"/>
    </w:rPr>
  </w:style>
  <w:style w:type="paragraph" w:customStyle="1" w:styleId="33">
    <w:name w:val="List Paragraph"/>
    <w:basedOn w:val="1"/>
    <w:qFormat/>
    <w:uiPriority w:val="34"/>
    <w:pPr>
      <w:adjustRightInd/>
      <w:ind w:firstLine="420"/>
    </w:pPr>
    <w:rPr>
      <w:rFonts w:ascii="Calibri" w:hAnsi="Calibri"/>
      <w:kern w:val="2"/>
      <w:sz w:val="21"/>
      <w:szCs w:val="22"/>
    </w:rPr>
  </w:style>
  <w:style w:type="paragraph" w:customStyle="1" w:styleId="34">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
    <w:name w:val="Char Char Char"/>
    <w:basedOn w:val="1"/>
    <w:qFormat/>
    <w:uiPriority w:val="0"/>
    <w:rPr>
      <w:rFonts w:ascii="Tahoma" w:hAnsi="Tahom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2024-04-23T00:58:49Z</dcterms:created>
  <dc:creator>Administrator</dc:creator>
  <cp:lastModifiedBy>气泡</cp:lastModifiedBy>
  <dcterms:modified xsi:type="dcterms:W3CDTF">2024-04-23T00:59:02Z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1A4BF3CB86EC442D8EF81D8AFE7F2CCB</vt:lpwstr>
  </property>
</Properties>
</file>